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999" w:rsidRDefault="00625E28" w:rsidP="00D303F0">
      <w:pPr>
        <w:ind w:left="1985"/>
        <w:rPr>
          <w:rFonts w:ascii="Calibri" w:hAnsi="Calibri"/>
          <w:szCs w:val="22"/>
        </w:rPr>
      </w:pPr>
      <w:bookmarkStart w:id="0" w:name="_GoBack"/>
      <w:bookmarkEnd w:id="0"/>
      <w:r w:rsidRPr="00D303F0">
        <w:rPr>
          <w:rFonts w:ascii="Comic Sans MS" w:eastAsia="Times New Roman" w:hAnsi="Comic Sans MS"/>
          <w:b/>
          <w:noProof/>
          <w:sz w:val="16"/>
          <w:szCs w:val="20"/>
        </w:rPr>
        <w:drawing>
          <wp:anchor distT="0" distB="0" distL="114300" distR="114300" simplePos="0" relativeHeight="251659264" behindDoc="0" locked="0" layoutInCell="1" allowOverlap="1" wp14:anchorId="666E71AE" wp14:editId="360C16C0">
            <wp:simplePos x="0" y="0"/>
            <wp:positionH relativeFrom="column">
              <wp:posOffset>2439670</wp:posOffset>
            </wp:positionH>
            <wp:positionV relativeFrom="paragraph">
              <wp:posOffset>-452120</wp:posOffset>
            </wp:positionV>
            <wp:extent cx="1382395" cy="584835"/>
            <wp:effectExtent l="0" t="0" r="8255" b="5715"/>
            <wp:wrapNone/>
            <wp:docPr id="1" name="Image 1" descr="Description : LOGO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LOGO 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3F0" w:rsidRPr="00125E44" w:rsidRDefault="00D303F0" w:rsidP="00D303F0">
      <w:pPr>
        <w:tabs>
          <w:tab w:val="left" w:pos="8647"/>
        </w:tabs>
        <w:ind w:left="-851" w:right="849"/>
        <w:jc w:val="left"/>
        <w:rPr>
          <w:rFonts w:ascii="Venacti Sb" w:eastAsia="Times New Roman" w:hAnsi="Venacti Sb"/>
          <w:color w:val="E36C0A"/>
          <w:sz w:val="16"/>
          <w:szCs w:val="16"/>
          <w:lang w:eastAsia="x-none"/>
        </w:rPr>
      </w:pPr>
    </w:p>
    <w:p w:rsidR="00200868" w:rsidRDefault="00D303F0" w:rsidP="00200868">
      <w:pPr>
        <w:tabs>
          <w:tab w:val="left" w:pos="9781"/>
        </w:tabs>
        <w:ind w:right="-1"/>
        <w:jc w:val="center"/>
        <w:rPr>
          <w:rFonts w:ascii="Venacti Sb" w:eastAsia="Times New Roman" w:hAnsi="Venacti Sb"/>
          <w:color w:val="E36C0A"/>
          <w:sz w:val="26"/>
          <w:szCs w:val="26"/>
          <w:lang w:eastAsia="x-none"/>
        </w:rPr>
      </w:pPr>
      <w:r w:rsidRPr="00D303F0">
        <w:rPr>
          <w:rFonts w:ascii="Venacti Sb" w:eastAsia="Times New Roman" w:hAnsi="Venacti Sb"/>
          <w:color w:val="E36C0A"/>
          <w:sz w:val="26"/>
          <w:szCs w:val="26"/>
          <w:lang w:eastAsia="x-none"/>
        </w:rPr>
        <w:t>Compte-rendu de la réunion du comité syndical</w:t>
      </w:r>
    </w:p>
    <w:p w:rsidR="00D303F0" w:rsidRPr="00D303F0" w:rsidRDefault="00D303F0" w:rsidP="00200868">
      <w:pPr>
        <w:tabs>
          <w:tab w:val="left" w:pos="9781"/>
        </w:tabs>
        <w:ind w:right="-1"/>
        <w:jc w:val="center"/>
        <w:rPr>
          <w:rFonts w:ascii="Venacti Sb" w:eastAsia="Times New Roman" w:hAnsi="Venacti Sb"/>
          <w:color w:val="E36C0A"/>
          <w:sz w:val="26"/>
          <w:szCs w:val="26"/>
          <w:lang w:eastAsia="x-none"/>
        </w:rPr>
      </w:pPr>
      <w:r>
        <w:rPr>
          <w:rFonts w:ascii="Venacti Sb" w:eastAsia="Times New Roman" w:hAnsi="Venacti Sb"/>
          <w:color w:val="E36C0A"/>
          <w:sz w:val="26"/>
          <w:szCs w:val="26"/>
          <w:lang w:eastAsia="x-none"/>
        </w:rPr>
        <w:t>Séance du</w:t>
      </w:r>
      <w:r w:rsidR="0090603E">
        <w:rPr>
          <w:rFonts w:ascii="Venacti Sb" w:eastAsia="Times New Roman" w:hAnsi="Venacti Sb"/>
          <w:color w:val="E36C0A"/>
          <w:sz w:val="26"/>
          <w:szCs w:val="26"/>
          <w:lang w:eastAsia="x-none"/>
        </w:rPr>
        <w:t xml:space="preserve"> </w:t>
      </w:r>
      <w:r w:rsidR="00525BC0">
        <w:rPr>
          <w:rFonts w:ascii="Venacti Sb" w:eastAsia="Times New Roman" w:hAnsi="Venacti Sb"/>
          <w:color w:val="E36C0A"/>
          <w:sz w:val="26"/>
          <w:szCs w:val="26"/>
          <w:lang w:eastAsia="x-none"/>
        </w:rPr>
        <w:t>10 avril</w:t>
      </w:r>
      <w:r w:rsidR="005B737B">
        <w:rPr>
          <w:rFonts w:ascii="Venacti Sb" w:eastAsia="Times New Roman" w:hAnsi="Venacti Sb"/>
          <w:color w:val="E36C0A"/>
          <w:sz w:val="26"/>
          <w:szCs w:val="26"/>
          <w:lang w:eastAsia="x-none"/>
        </w:rPr>
        <w:t xml:space="preserve"> 2018</w:t>
      </w:r>
    </w:p>
    <w:p w:rsidR="00D305B8" w:rsidRDefault="00D305B8" w:rsidP="00D305B8">
      <w:pPr>
        <w:pStyle w:val="Corpsdetexte"/>
        <w:tabs>
          <w:tab w:val="left" w:pos="8647"/>
        </w:tabs>
        <w:ind w:left="2126" w:hanging="141"/>
        <w:rPr>
          <w:rFonts w:ascii="Calibri" w:hAnsi="Calibri"/>
          <w:sz w:val="20"/>
          <w:szCs w:val="20"/>
        </w:rPr>
      </w:pPr>
    </w:p>
    <w:p w:rsidR="005C3D66" w:rsidRPr="00CB2253" w:rsidRDefault="005C3D66" w:rsidP="005C3D66">
      <w:pPr>
        <w:pStyle w:val="Corpsdetexte"/>
        <w:tabs>
          <w:tab w:val="left" w:pos="8647"/>
        </w:tabs>
        <w:ind w:left="1418" w:right="-2" w:firstLine="1"/>
        <w:rPr>
          <w:rFonts w:ascii="Calibri" w:hAnsi="Calibri"/>
          <w:b/>
          <w:sz w:val="20"/>
        </w:rPr>
      </w:pPr>
      <w:r w:rsidRPr="005C3D66">
        <w:rPr>
          <w:noProof/>
          <w:sz w:val="20"/>
        </w:rPr>
        <mc:AlternateContent>
          <mc:Choice Requires="wps">
            <w:drawing>
              <wp:anchor distT="0" distB="0" distL="114300" distR="114300" simplePos="0" relativeHeight="251661312" behindDoc="0" locked="0" layoutInCell="1" allowOverlap="1" wp14:anchorId="5D2388C3" wp14:editId="37429A39">
                <wp:simplePos x="0" y="0"/>
                <wp:positionH relativeFrom="margin">
                  <wp:posOffset>13335</wp:posOffset>
                </wp:positionH>
                <wp:positionV relativeFrom="margin">
                  <wp:posOffset>901700</wp:posOffset>
                </wp:positionV>
                <wp:extent cx="1303020" cy="2181860"/>
                <wp:effectExtent l="0" t="0" r="0" b="889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18186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444" w:rsidRDefault="004A2444" w:rsidP="00A54DAB">
                            <w:pPr>
                              <w:pStyle w:val="Sansinterligne"/>
                              <w:jc w:val="center"/>
                              <w:rPr>
                                <w:b/>
                                <w:color w:val="FFFFFF"/>
                                <w:sz w:val="16"/>
                                <w:szCs w:val="16"/>
                              </w:rPr>
                            </w:pPr>
                            <w:r>
                              <w:rPr>
                                <w:b/>
                                <w:color w:val="FFFFFF"/>
                                <w:sz w:val="16"/>
                                <w:szCs w:val="16"/>
                              </w:rPr>
                              <w:t>SDE35</w:t>
                            </w:r>
                          </w:p>
                          <w:p w:rsidR="004A2444" w:rsidRDefault="004A2444" w:rsidP="00A54DAB">
                            <w:pPr>
                              <w:pStyle w:val="Sansinterligne"/>
                              <w:jc w:val="center"/>
                              <w:rPr>
                                <w:b/>
                                <w:color w:val="FFFFFF"/>
                                <w:sz w:val="16"/>
                                <w:szCs w:val="16"/>
                              </w:rPr>
                            </w:pPr>
                            <w:r>
                              <w:rPr>
                                <w:b/>
                                <w:color w:val="FFFFFF"/>
                                <w:sz w:val="16"/>
                                <w:szCs w:val="16"/>
                              </w:rPr>
                              <w:t>Village des collectivités</w:t>
                            </w:r>
                          </w:p>
                          <w:p w:rsidR="004A2444" w:rsidRDefault="004A2444" w:rsidP="00A54DAB">
                            <w:pPr>
                              <w:pStyle w:val="Sansinterligne"/>
                              <w:jc w:val="center"/>
                              <w:rPr>
                                <w:b/>
                                <w:color w:val="FFFFFF"/>
                                <w:sz w:val="16"/>
                                <w:szCs w:val="16"/>
                              </w:rPr>
                            </w:pPr>
                            <w:r>
                              <w:rPr>
                                <w:b/>
                                <w:color w:val="FFFFFF"/>
                                <w:sz w:val="16"/>
                                <w:szCs w:val="16"/>
                              </w:rPr>
                              <w:t>1 avenue de Tizé CS 43603</w:t>
                            </w:r>
                          </w:p>
                          <w:p w:rsidR="004A2444" w:rsidRDefault="004A2444" w:rsidP="00A54DAB">
                            <w:pPr>
                              <w:pStyle w:val="Sansinterligne"/>
                              <w:jc w:val="center"/>
                              <w:rPr>
                                <w:b/>
                                <w:color w:val="FFFFFF"/>
                                <w:sz w:val="16"/>
                                <w:szCs w:val="16"/>
                              </w:rPr>
                            </w:pPr>
                            <w:r>
                              <w:rPr>
                                <w:b/>
                                <w:color w:val="FFFFFF"/>
                                <w:sz w:val="16"/>
                                <w:szCs w:val="16"/>
                              </w:rPr>
                              <w:t>352036 Thorigné-Fouillard</w:t>
                            </w:r>
                          </w:p>
                          <w:p w:rsidR="004A2444" w:rsidRDefault="004A2444" w:rsidP="00A54DAB">
                            <w:pPr>
                              <w:pStyle w:val="Sansinterligne"/>
                              <w:jc w:val="center"/>
                              <w:rPr>
                                <w:b/>
                                <w:color w:val="FFFFFF"/>
                                <w:sz w:val="16"/>
                                <w:szCs w:val="16"/>
                              </w:rPr>
                            </w:pPr>
                            <w:r>
                              <w:rPr>
                                <w:b/>
                                <w:color w:val="FFFFFF"/>
                                <w:sz w:val="16"/>
                                <w:szCs w:val="16"/>
                              </w:rPr>
                              <w:t>-</w:t>
                            </w:r>
                          </w:p>
                          <w:p w:rsidR="004A2444" w:rsidRDefault="004A2444" w:rsidP="005C3D66">
                            <w:pPr>
                              <w:pStyle w:val="Sansinterligne"/>
                              <w:rPr>
                                <w:b/>
                                <w:color w:val="FFFFFF"/>
                                <w:sz w:val="16"/>
                                <w:szCs w:val="16"/>
                              </w:rPr>
                            </w:pPr>
                            <w:r>
                              <w:rPr>
                                <w:b/>
                                <w:color w:val="FFFFFF"/>
                                <w:sz w:val="16"/>
                                <w:szCs w:val="16"/>
                              </w:rPr>
                              <w:t>Nombre de délégués</w:t>
                            </w:r>
                          </w:p>
                          <w:p w:rsidR="004A2444" w:rsidRDefault="004A2444"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4A2444" w:rsidRPr="00387A0E" w:rsidRDefault="004A2444"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t>25</w:t>
                            </w:r>
                          </w:p>
                          <w:p w:rsidR="004A2444" w:rsidRPr="00387A11" w:rsidRDefault="004A2444"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t>15</w:t>
                            </w:r>
                          </w:p>
                          <w:p w:rsidR="004A2444" w:rsidRDefault="004A2444" w:rsidP="005C3D66">
                            <w:pPr>
                              <w:pStyle w:val="Sansinterligne"/>
                              <w:rPr>
                                <w:b/>
                                <w:color w:val="FFFFFF"/>
                                <w:sz w:val="16"/>
                                <w:szCs w:val="16"/>
                              </w:rPr>
                            </w:pPr>
                          </w:p>
                          <w:p w:rsidR="004A2444" w:rsidRDefault="004A2444"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Pr="00C867AC">
                              <w:rPr>
                                <w:b/>
                                <w:color w:val="FFFFFF"/>
                                <w:sz w:val="16"/>
                                <w:szCs w:val="16"/>
                              </w:rPr>
                              <w:t>19</w:t>
                            </w:r>
                          </w:p>
                          <w:p w:rsidR="004A2444" w:rsidRDefault="004A2444" w:rsidP="005C3D66">
                            <w:pPr>
                              <w:pStyle w:val="Sansinterligne"/>
                              <w:rPr>
                                <w:b/>
                                <w:color w:val="FFFFFF"/>
                                <w:sz w:val="16"/>
                                <w:szCs w:val="16"/>
                              </w:rPr>
                            </w:pPr>
                          </w:p>
                          <w:p w:rsidR="004A2444" w:rsidRDefault="004A2444" w:rsidP="005C3D66">
                            <w:pPr>
                              <w:shd w:val="clear" w:color="auto" w:fill="595959"/>
                              <w:tabs>
                                <w:tab w:val="left" w:pos="1276"/>
                              </w:tabs>
                              <w:rPr>
                                <w:b/>
                                <w:color w:val="FFFFFF"/>
                                <w:sz w:val="16"/>
                                <w:szCs w:val="16"/>
                              </w:rPr>
                            </w:pPr>
                          </w:p>
                          <w:p w:rsidR="004A2444" w:rsidRDefault="004A2444" w:rsidP="005C3D66">
                            <w:pPr>
                              <w:shd w:val="clear" w:color="auto" w:fill="595959"/>
                              <w:tabs>
                                <w:tab w:val="left" w:pos="1276"/>
                              </w:tabs>
                              <w:rPr>
                                <w:b/>
                                <w:color w:val="FFFFFF"/>
                                <w:sz w:val="16"/>
                                <w:szCs w:val="16"/>
                              </w:rPr>
                            </w:pPr>
                            <w:r>
                              <w:rPr>
                                <w:b/>
                                <w:color w:val="FFFFFF"/>
                                <w:sz w:val="16"/>
                                <w:szCs w:val="16"/>
                              </w:rPr>
                              <w:t>Réception par le Préfet </w:t>
                            </w:r>
                          </w:p>
                          <w:p w:rsidR="004A2444" w:rsidRDefault="004A2444" w:rsidP="005C3D66">
                            <w:pPr>
                              <w:shd w:val="clear" w:color="auto" w:fill="595959"/>
                              <w:tabs>
                                <w:tab w:val="left" w:pos="1276"/>
                              </w:tabs>
                              <w:rPr>
                                <w:b/>
                                <w:color w:val="FFFFFF"/>
                                <w:sz w:val="16"/>
                                <w:szCs w:val="16"/>
                              </w:rPr>
                            </w:pPr>
                            <w:r>
                              <w:rPr>
                                <w:b/>
                                <w:color w:val="FFFFFF"/>
                                <w:sz w:val="16"/>
                                <w:szCs w:val="16"/>
                              </w:rPr>
                              <w:t>19/04/2018</w:t>
                            </w:r>
                          </w:p>
                          <w:p w:rsidR="004A2444" w:rsidRDefault="004A2444" w:rsidP="005C3D66">
                            <w:pPr>
                              <w:shd w:val="clear" w:color="auto" w:fill="595959"/>
                              <w:tabs>
                                <w:tab w:val="left" w:pos="1276"/>
                              </w:tabs>
                              <w:rPr>
                                <w:b/>
                                <w:color w:val="FFFFFF"/>
                                <w:sz w:val="16"/>
                                <w:szCs w:val="16"/>
                              </w:rPr>
                            </w:pPr>
                            <w:r>
                              <w:rPr>
                                <w:b/>
                                <w:color w:val="FFFFFF"/>
                                <w:sz w:val="16"/>
                                <w:szCs w:val="16"/>
                              </w:rPr>
                              <w:t>Publication</w:t>
                            </w:r>
                          </w:p>
                          <w:p w:rsidR="004A2444" w:rsidRDefault="004A2444" w:rsidP="005C3D66">
                            <w:pPr>
                              <w:shd w:val="clear" w:color="auto" w:fill="595959"/>
                              <w:tabs>
                                <w:tab w:val="left" w:pos="1276"/>
                              </w:tabs>
                              <w:rPr>
                                <w:b/>
                                <w:color w:val="FFFFFF"/>
                                <w:sz w:val="16"/>
                                <w:szCs w:val="16"/>
                              </w:rPr>
                            </w:pPr>
                            <w:r>
                              <w:rPr>
                                <w:b/>
                                <w:color w:val="FFFFFF"/>
                                <w:sz w:val="16"/>
                                <w:szCs w:val="16"/>
                              </w:rPr>
                              <w:t>02/05/2018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1.05pt;margin-top:71pt;width:102.6pt;height:17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" fillcolor="#5a5a5a" stroked="f">
                <v:textbox>
                  <w:txbxContent>
                    <w:p w:rsidR="004A2444" w:rsidRDefault="004A2444" w:rsidP="00A54DAB">
                      <w:pPr>
                        <w:pStyle w:val="Sansinterligne"/>
                        <w:jc w:val="center"/>
                        <w:rPr>
                          <w:b/>
                          <w:color w:val="FFFFFF"/>
                          <w:sz w:val="16"/>
                          <w:szCs w:val="16"/>
                        </w:rPr>
                      </w:pPr>
                      <w:r>
                        <w:rPr>
                          <w:b/>
                          <w:color w:val="FFFFFF"/>
                          <w:sz w:val="16"/>
                          <w:szCs w:val="16"/>
                        </w:rPr>
                        <w:t>SDE35</w:t>
                      </w:r>
                    </w:p>
                    <w:p w:rsidR="004A2444" w:rsidRDefault="004A2444" w:rsidP="00A54DAB">
                      <w:pPr>
                        <w:pStyle w:val="Sansinterligne"/>
                        <w:jc w:val="center"/>
                        <w:rPr>
                          <w:b/>
                          <w:color w:val="FFFFFF"/>
                          <w:sz w:val="16"/>
                          <w:szCs w:val="16"/>
                        </w:rPr>
                      </w:pPr>
                      <w:r>
                        <w:rPr>
                          <w:b/>
                          <w:color w:val="FFFFFF"/>
                          <w:sz w:val="16"/>
                          <w:szCs w:val="16"/>
                        </w:rPr>
                        <w:t>Village des collectivités</w:t>
                      </w:r>
                    </w:p>
                    <w:p w:rsidR="004A2444" w:rsidRDefault="004A2444" w:rsidP="00A54DAB">
                      <w:pPr>
                        <w:pStyle w:val="Sansinterligne"/>
                        <w:jc w:val="center"/>
                        <w:rPr>
                          <w:b/>
                          <w:color w:val="FFFFFF"/>
                          <w:sz w:val="16"/>
                          <w:szCs w:val="16"/>
                        </w:rPr>
                      </w:pPr>
                      <w:r>
                        <w:rPr>
                          <w:b/>
                          <w:color w:val="FFFFFF"/>
                          <w:sz w:val="16"/>
                          <w:szCs w:val="16"/>
                        </w:rPr>
                        <w:t>1 avenue de Tizé CS 43603</w:t>
                      </w:r>
                    </w:p>
                    <w:p w:rsidR="004A2444" w:rsidRDefault="004A2444" w:rsidP="00A54DAB">
                      <w:pPr>
                        <w:pStyle w:val="Sansinterligne"/>
                        <w:jc w:val="center"/>
                        <w:rPr>
                          <w:b/>
                          <w:color w:val="FFFFFF"/>
                          <w:sz w:val="16"/>
                          <w:szCs w:val="16"/>
                        </w:rPr>
                      </w:pPr>
                      <w:r>
                        <w:rPr>
                          <w:b/>
                          <w:color w:val="FFFFFF"/>
                          <w:sz w:val="16"/>
                          <w:szCs w:val="16"/>
                        </w:rPr>
                        <w:t>352036 Thorigné-Fouillard</w:t>
                      </w:r>
                    </w:p>
                    <w:p w:rsidR="004A2444" w:rsidRDefault="004A2444" w:rsidP="00A54DAB">
                      <w:pPr>
                        <w:pStyle w:val="Sansinterligne"/>
                        <w:jc w:val="center"/>
                        <w:rPr>
                          <w:b/>
                          <w:color w:val="FFFFFF"/>
                          <w:sz w:val="16"/>
                          <w:szCs w:val="16"/>
                        </w:rPr>
                      </w:pPr>
                      <w:r>
                        <w:rPr>
                          <w:b/>
                          <w:color w:val="FFFFFF"/>
                          <w:sz w:val="16"/>
                          <w:szCs w:val="16"/>
                        </w:rPr>
                        <w:t>-</w:t>
                      </w:r>
                    </w:p>
                    <w:p w:rsidR="004A2444" w:rsidRDefault="004A2444" w:rsidP="005C3D66">
                      <w:pPr>
                        <w:pStyle w:val="Sansinterligne"/>
                        <w:rPr>
                          <w:b/>
                          <w:color w:val="FFFFFF"/>
                          <w:sz w:val="16"/>
                          <w:szCs w:val="16"/>
                        </w:rPr>
                      </w:pPr>
                      <w:r>
                        <w:rPr>
                          <w:b/>
                          <w:color w:val="FFFFFF"/>
                          <w:sz w:val="16"/>
                          <w:szCs w:val="16"/>
                        </w:rPr>
                        <w:t>Nombre de délégués</w:t>
                      </w:r>
                    </w:p>
                    <w:p w:rsidR="004A2444" w:rsidRDefault="004A2444"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4A2444" w:rsidRPr="00387A0E" w:rsidRDefault="004A2444"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t>25</w:t>
                      </w:r>
                    </w:p>
                    <w:p w:rsidR="004A2444" w:rsidRPr="00387A11" w:rsidRDefault="004A2444"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t>15</w:t>
                      </w:r>
                    </w:p>
                    <w:p w:rsidR="004A2444" w:rsidRDefault="004A2444" w:rsidP="005C3D66">
                      <w:pPr>
                        <w:pStyle w:val="Sansinterligne"/>
                        <w:rPr>
                          <w:b/>
                          <w:color w:val="FFFFFF"/>
                          <w:sz w:val="16"/>
                          <w:szCs w:val="16"/>
                        </w:rPr>
                      </w:pPr>
                    </w:p>
                    <w:p w:rsidR="004A2444" w:rsidRDefault="004A2444"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Pr="00C867AC">
                        <w:rPr>
                          <w:b/>
                          <w:color w:val="FFFFFF"/>
                          <w:sz w:val="16"/>
                          <w:szCs w:val="16"/>
                        </w:rPr>
                        <w:t>19</w:t>
                      </w:r>
                    </w:p>
                    <w:p w:rsidR="004A2444" w:rsidRDefault="004A2444" w:rsidP="005C3D66">
                      <w:pPr>
                        <w:pStyle w:val="Sansinterligne"/>
                        <w:rPr>
                          <w:b/>
                          <w:color w:val="FFFFFF"/>
                          <w:sz w:val="16"/>
                          <w:szCs w:val="16"/>
                        </w:rPr>
                      </w:pPr>
                    </w:p>
                    <w:p w:rsidR="004A2444" w:rsidRDefault="004A2444" w:rsidP="005C3D66">
                      <w:pPr>
                        <w:shd w:val="clear" w:color="auto" w:fill="595959"/>
                        <w:tabs>
                          <w:tab w:val="left" w:pos="1276"/>
                        </w:tabs>
                        <w:rPr>
                          <w:b/>
                          <w:color w:val="FFFFFF"/>
                          <w:sz w:val="16"/>
                          <w:szCs w:val="16"/>
                        </w:rPr>
                      </w:pPr>
                    </w:p>
                    <w:p w:rsidR="004A2444" w:rsidRDefault="004A2444" w:rsidP="005C3D66">
                      <w:pPr>
                        <w:shd w:val="clear" w:color="auto" w:fill="595959"/>
                        <w:tabs>
                          <w:tab w:val="left" w:pos="1276"/>
                        </w:tabs>
                        <w:rPr>
                          <w:b/>
                          <w:color w:val="FFFFFF"/>
                          <w:sz w:val="16"/>
                          <w:szCs w:val="16"/>
                        </w:rPr>
                      </w:pPr>
                      <w:r>
                        <w:rPr>
                          <w:b/>
                          <w:color w:val="FFFFFF"/>
                          <w:sz w:val="16"/>
                          <w:szCs w:val="16"/>
                        </w:rPr>
                        <w:t>Réception par le Préfet </w:t>
                      </w:r>
                    </w:p>
                    <w:p w:rsidR="004A2444" w:rsidRDefault="004A2444" w:rsidP="005C3D66">
                      <w:pPr>
                        <w:shd w:val="clear" w:color="auto" w:fill="595959"/>
                        <w:tabs>
                          <w:tab w:val="left" w:pos="1276"/>
                        </w:tabs>
                        <w:rPr>
                          <w:b/>
                          <w:color w:val="FFFFFF"/>
                          <w:sz w:val="16"/>
                          <w:szCs w:val="16"/>
                        </w:rPr>
                      </w:pPr>
                      <w:r>
                        <w:rPr>
                          <w:b/>
                          <w:color w:val="FFFFFF"/>
                          <w:sz w:val="16"/>
                          <w:szCs w:val="16"/>
                        </w:rPr>
                        <w:t>19/04/2018</w:t>
                      </w:r>
                    </w:p>
                    <w:p w:rsidR="004A2444" w:rsidRDefault="004A2444" w:rsidP="005C3D66">
                      <w:pPr>
                        <w:shd w:val="clear" w:color="auto" w:fill="595959"/>
                        <w:tabs>
                          <w:tab w:val="left" w:pos="1276"/>
                        </w:tabs>
                        <w:rPr>
                          <w:b/>
                          <w:color w:val="FFFFFF"/>
                          <w:sz w:val="16"/>
                          <w:szCs w:val="16"/>
                        </w:rPr>
                      </w:pPr>
                      <w:r>
                        <w:rPr>
                          <w:b/>
                          <w:color w:val="FFFFFF"/>
                          <w:sz w:val="16"/>
                          <w:szCs w:val="16"/>
                        </w:rPr>
                        <w:t>Publication</w:t>
                      </w:r>
                    </w:p>
                    <w:p w:rsidR="004A2444" w:rsidRDefault="004A2444" w:rsidP="005C3D66">
                      <w:pPr>
                        <w:shd w:val="clear" w:color="auto" w:fill="595959"/>
                        <w:tabs>
                          <w:tab w:val="left" w:pos="1276"/>
                        </w:tabs>
                        <w:rPr>
                          <w:b/>
                          <w:color w:val="FFFFFF"/>
                          <w:sz w:val="16"/>
                          <w:szCs w:val="16"/>
                        </w:rPr>
                      </w:pPr>
                      <w:r>
                        <w:rPr>
                          <w:b/>
                          <w:color w:val="FFFFFF"/>
                          <w:sz w:val="16"/>
                          <w:szCs w:val="16"/>
                        </w:rPr>
                        <w:t>02/05/2018</w:t>
                      </w:r>
                    </w:p>
                  </w:txbxContent>
                </v:textbox>
                <w10:wrap type="square" anchorx="margin" anchory="margin"/>
              </v:shape>
            </w:pict>
          </mc:Fallback>
        </mc:AlternateContent>
      </w:r>
      <w:r w:rsidRPr="005C3D66">
        <w:rPr>
          <w:rFonts w:ascii="Calibri" w:hAnsi="Calibri"/>
          <w:sz w:val="20"/>
        </w:rPr>
        <w:t>L'an deux mil dix-</w:t>
      </w:r>
      <w:r w:rsidR="00125817">
        <w:rPr>
          <w:rFonts w:ascii="Calibri" w:hAnsi="Calibri"/>
          <w:sz w:val="20"/>
        </w:rPr>
        <w:t>huit</w:t>
      </w:r>
      <w:r w:rsidRPr="005C3D66">
        <w:rPr>
          <w:rFonts w:ascii="Calibri" w:hAnsi="Calibri"/>
          <w:sz w:val="20"/>
        </w:rPr>
        <w:t xml:space="preserve">, le </w:t>
      </w:r>
      <w:r w:rsidR="00525BC0">
        <w:rPr>
          <w:rFonts w:ascii="Calibri" w:hAnsi="Calibri"/>
          <w:sz w:val="20"/>
        </w:rPr>
        <w:t>dix avril</w:t>
      </w:r>
      <w:r w:rsidRPr="005C3D66">
        <w:rPr>
          <w:rFonts w:ascii="Calibri" w:hAnsi="Calibri"/>
          <w:sz w:val="20"/>
        </w:rPr>
        <w:t xml:space="preserve"> à </w:t>
      </w:r>
      <w:r w:rsidR="00525BC0">
        <w:rPr>
          <w:rFonts w:ascii="Calibri" w:hAnsi="Calibri"/>
          <w:sz w:val="20"/>
        </w:rPr>
        <w:t>neuf</w:t>
      </w:r>
      <w:r w:rsidRPr="005C3D66">
        <w:rPr>
          <w:rFonts w:ascii="Calibri" w:hAnsi="Calibri"/>
          <w:sz w:val="20"/>
        </w:rPr>
        <w:t xml:space="preserve"> heures</w:t>
      </w:r>
      <w:r w:rsidR="00525BC0">
        <w:rPr>
          <w:rFonts w:ascii="Calibri" w:hAnsi="Calibri"/>
          <w:sz w:val="20"/>
        </w:rPr>
        <w:t xml:space="preserve"> trente</w:t>
      </w:r>
      <w:r w:rsidRPr="005C3D66">
        <w:rPr>
          <w:rFonts w:ascii="Calibri" w:hAnsi="Calibri"/>
          <w:sz w:val="20"/>
        </w:rPr>
        <w:t xml:space="preserve">, le Comité du SYNDICAT DEPARTEMENTAL D'ENERGIE 35, dûment convoqué le </w:t>
      </w:r>
      <w:r w:rsidR="00525BC0">
        <w:rPr>
          <w:rFonts w:ascii="Calibri" w:hAnsi="Calibri"/>
          <w:sz w:val="20"/>
        </w:rPr>
        <w:t>quatre avril</w:t>
      </w:r>
      <w:r w:rsidRPr="005C3D66">
        <w:rPr>
          <w:rFonts w:ascii="Calibri" w:hAnsi="Calibri"/>
          <w:sz w:val="20"/>
        </w:rPr>
        <w:t xml:space="preserve"> deux mille dix-</w:t>
      </w:r>
      <w:r w:rsidR="00125817">
        <w:rPr>
          <w:rFonts w:ascii="Calibri" w:hAnsi="Calibri"/>
          <w:sz w:val="20"/>
        </w:rPr>
        <w:t>huit</w:t>
      </w:r>
      <w:r w:rsidRPr="005C3D66">
        <w:rPr>
          <w:rFonts w:ascii="Calibri" w:hAnsi="Calibri"/>
          <w:sz w:val="20"/>
        </w:rPr>
        <w:t>, s'est réuni au siège du Syndicat sous la présidence de Didier NOUYOU, Président</w:t>
      </w:r>
      <w:r w:rsidRPr="00CB2253">
        <w:rPr>
          <w:rFonts w:ascii="Calibri" w:hAnsi="Calibri"/>
          <w:b/>
          <w:sz w:val="20"/>
        </w:rPr>
        <w:t>.</w:t>
      </w:r>
    </w:p>
    <w:p w:rsidR="005C3D66" w:rsidRPr="00730A5A" w:rsidRDefault="005C3D66" w:rsidP="005C3D66">
      <w:pPr>
        <w:tabs>
          <w:tab w:val="left" w:pos="8647"/>
        </w:tabs>
        <w:ind w:left="2127" w:right="-2"/>
        <w:rPr>
          <w:sz w:val="10"/>
          <w:szCs w:val="10"/>
        </w:rPr>
      </w:pPr>
    </w:p>
    <w:p w:rsidR="005C3D66" w:rsidRDefault="005C3D66" w:rsidP="005C3D66">
      <w:pPr>
        <w:tabs>
          <w:tab w:val="left" w:pos="7371"/>
          <w:tab w:val="left" w:pos="8647"/>
        </w:tabs>
        <w:ind w:left="2127" w:right="-2"/>
        <w:rPr>
          <w:rFonts w:cs="Calibri"/>
          <w:sz w:val="20"/>
          <w:szCs w:val="20"/>
        </w:rPr>
      </w:pPr>
      <w:r w:rsidRPr="00CB2253">
        <w:rPr>
          <w:rFonts w:cs="Calibri"/>
          <w:sz w:val="20"/>
          <w:szCs w:val="20"/>
        </w:rPr>
        <w:t>Présents</w:t>
      </w:r>
      <w:r w:rsidRPr="00CB2253">
        <w:rPr>
          <w:sz w:val="20"/>
          <w:szCs w:val="20"/>
        </w:rPr>
        <w:t xml:space="preserve"> : Didier NOUYOU, Président, </w:t>
      </w:r>
      <w:r>
        <w:rPr>
          <w:sz w:val="20"/>
          <w:szCs w:val="20"/>
        </w:rPr>
        <w:t xml:space="preserve">Christophe MARTINS, </w:t>
      </w:r>
      <w:r w:rsidR="003A2DD8">
        <w:rPr>
          <w:sz w:val="20"/>
          <w:szCs w:val="20"/>
        </w:rPr>
        <w:t>Jean-Claude BELINE</w:t>
      </w:r>
      <w:r w:rsidR="0074022D">
        <w:rPr>
          <w:sz w:val="20"/>
          <w:szCs w:val="20"/>
        </w:rPr>
        <w:t xml:space="preserve"> </w:t>
      </w:r>
      <w:r w:rsidR="003A2DD8">
        <w:rPr>
          <w:sz w:val="20"/>
          <w:szCs w:val="20"/>
        </w:rPr>
        <w:t>et</w:t>
      </w:r>
      <w:r w:rsidRPr="00CB2253">
        <w:rPr>
          <w:sz w:val="20"/>
          <w:szCs w:val="20"/>
        </w:rPr>
        <w:t xml:space="preserve"> Jean-Luc DUPUY</w:t>
      </w:r>
      <w:r w:rsidRPr="00CB2253">
        <w:rPr>
          <w:rFonts w:cs="Calibri"/>
          <w:sz w:val="20"/>
          <w:szCs w:val="20"/>
        </w:rPr>
        <w:t xml:space="preserve">, </w:t>
      </w:r>
      <w:r w:rsidRPr="00CB2253">
        <w:rPr>
          <w:sz w:val="20"/>
          <w:szCs w:val="20"/>
        </w:rPr>
        <w:t xml:space="preserve">Vice-présidents ; </w:t>
      </w:r>
      <w:r w:rsidR="008A4FF7">
        <w:rPr>
          <w:sz w:val="20"/>
          <w:szCs w:val="20"/>
        </w:rPr>
        <w:t xml:space="preserve">Maurice BEAUGENDRE, </w:t>
      </w:r>
      <w:r>
        <w:rPr>
          <w:sz w:val="20"/>
          <w:szCs w:val="20"/>
        </w:rPr>
        <w:t>Michel BENEDETTI,</w:t>
      </w:r>
      <w:r w:rsidRPr="00CB2253">
        <w:rPr>
          <w:rFonts w:cs="Calibri"/>
          <w:sz w:val="20"/>
          <w:szCs w:val="20"/>
        </w:rPr>
        <w:t xml:space="preserve"> </w:t>
      </w:r>
      <w:r w:rsidR="003A2DD8">
        <w:rPr>
          <w:rFonts w:cs="Calibri"/>
          <w:sz w:val="20"/>
          <w:szCs w:val="20"/>
        </w:rPr>
        <w:t xml:space="preserve">Camille BONDU, Albert COMBY, </w:t>
      </w:r>
      <w:r w:rsidR="00E80CF9">
        <w:rPr>
          <w:rFonts w:cs="Calibri"/>
          <w:sz w:val="20"/>
          <w:szCs w:val="20"/>
        </w:rPr>
        <w:t xml:space="preserve">André CROGUENNEC, </w:t>
      </w:r>
      <w:r>
        <w:rPr>
          <w:rFonts w:cs="Calibri"/>
          <w:sz w:val="20"/>
          <w:szCs w:val="20"/>
        </w:rPr>
        <w:t>André DAVY</w:t>
      </w:r>
      <w:r w:rsidRPr="00CB2253">
        <w:rPr>
          <w:rFonts w:cs="Calibri"/>
          <w:sz w:val="20"/>
          <w:szCs w:val="20"/>
        </w:rPr>
        <w:t xml:space="preserve">, </w:t>
      </w:r>
      <w:r w:rsidR="002B0FE9">
        <w:rPr>
          <w:rFonts w:cs="Calibri"/>
          <w:sz w:val="20"/>
          <w:szCs w:val="20"/>
        </w:rPr>
        <w:t>Jean-Pierre DELAUNAY, Valérie DESTRUHAUT</w:t>
      </w:r>
      <w:r w:rsidR="008A4FF7">
        <w:rPr>
          <w:rFonts w:cs="Calibri"/>
          <w:sz w:val="20"/>
          <w:szCs w:val="20"/>
        </w:rPr>
        <w:t xml:space="preserve"> (jusqu’au point 11)</w:t>
      </w:r>
      <w:r w:rsidR="002B0FE9">
        <w:rPr>
          <w:rFonts w:cs="Calibri"/>
          <w:sz w:val="20"/>
          <w:szCs w:val="20"/>
        </w:rPr>
        <w:t>, Jean-Yves INIZAN</w:t>
      </w:r>
      <w:r w:rsidR="003A2DD8">
        <w:rPr>
          <w:rFonts w:cs="Calibri"/>
          <w:sz w:val="20"/>
          <w:szCs w:val="20"/>
        </w:rPr>
        <w:t xml:space="preserve">, </w:t>
      </w:r>
      <w:r w:rsidRPr="00CB2253">
        <w:rPr>
          <w:rFonts w:cs="Calibri"/>
          <w:sz w:val="20"/>
          <w:szCs w:val="20"/>
        </w:rPr>
        <w:t xml:space="preserve">Michel JEULAND, </w:t>
      </w:r>
      <w:r w:rsidR="008A4FF7">
        <w:rPr>
          <w:rFonts w:cs="Calibri"/>
          <w:sz w:val="20"/>
          <w:szCs w:val="20"/>
        </w:rPr>
        <w:t xml:space="preserve">Dominique KERJOUAN (à partir du point 7), </w:t>
      </w:r>
      <w:r w:rsidRPr="00CB2253">
        <w:rPr>
          <w:rFonts w:cs="Calibri"/>
          <w:sz w:val="20"/>
          <w:szCs w:val="20"/>
        </w:rPr>
        <w:t xml:space="preserve">Patrick LE GUYADER, </w:t>
      </w:r>
      <w:r w:rsidR="002B0FE9">
        <w:rPr>
          <w:rFonts w:cs="Calibri"/>
          <w:sz w:val="20"/>
          <w:szCs w:val="20"/>
        </w:rPr>
        <w:t xml:space="preserve">Robert MONNIER, </w:t>
      </w:r>
      <w:r w:rsidR="008A4FF7">
        <w:rPr>
          <w:rFonts w:cs="Calibri"/>
          <w:sz w:val="20"/>
          <w:szCs w:val="20"/>
        </w:rPr>
        <w:t xml:space="preserve">Jean-Luc MORLAIS, Franck NOEL, </w:t>
      </w:r>
      <w:r w:rsidR="00E80CF9">
        <w:rPr>
          <w:rFonts w:cs="Calibri"/>
          <w:sz w:val="20"/>
          <w:szCs w:val="20"/>
        </w:rPr>
        <w:t>Nadège NOISETTE</w:t>
      </w:r>
      <w:r w:rsidR="003A2DD8">
        <w:rPr>
          <w:rFonts w:cs="Calibri"/>
          <w:sz w:val="20"/>
          <w:szCs w:val="20"/>
        </w:rPr>
        <w:t xml:space="preserve"> </w:t>
      </w:r>
      <w:r w:rsidR="008A4FF7">
        <w:rPr>
          <w:rFonts w:cs="Calibri"/>
          <w:sz w:val="20"/>
          <w:szCs w:val="20"/>
        </w:rPr>
        <w:t>et Patrick SAULTIER</w:t>
      </w:r>
      <w:r w:rsidR="003A2DD8">
        <w:rPr>
          <w:rFonts w:cs="Calibri"/>
          <w:sz w:val="20"/>
          <w:szCs w:val="20"/>
        </w:rPr>
        <w:t xml:space="preserve">, </w:t>
      </w:r>
      <w:r w:rsidR="00E80CF9">
        <w:rPr>
          <w:rFonts w:cs="Calibri"/>
          <w:sz w:val="20"/>
          <w:szCs w:val="20"/>
        </w:rPr>
        <w:t>délégués titulaires</w:t>
      </w:r>
      <w:r w:rsidRPr="00CB2253">
        <w:rPr>
          <w:rFonts w:cs="Calibri"/>
          <w:sz w:val="20"/>
          <w:szCs w:val="20"/>
        </w:rPr>
        <w:t>.</w:t>
      </w:r>
    </w:p>
    <w:p w:rsidR="002B0FE9" w:rsidRPr="00CB2253" w:rsidRDefault="002B0FE9" w:rsidP="005C3D66">
      <w:pPr>
        <w:tabs>
          <w:tab w:val="left" w:pos="7371"/>
          <w:tab w:val="left" w:pos="8647"/>
        </w:tabs>
        <w:ind w:left="2127" w:right="-2"/>
        <w:rPr>
          <w:rFonts w:cs="Calibri"/>
          <w:sz w:val="20"/>
          <w:szCs w:val="20"/>
        </w:rPr>
      </w:pPr>
      <w:r>
        <w:rPr>
          <w:rFonts w:cs="Calibri"/>
          <w:sz w:val="20"/>
          <w:szCs w:val="20"/>
        </w:rPr>
        <w:t xml:space="preserve">Jacques BENARD, </w:t>
      </w:r>
      <w:r w:rsidR="008A4FF7">
        <w:rPr>
          <w:rFonts w:cs="Calibri"/>
          <w:sz w:val="20"/>
          <w:szCs w:val="20"/>
        </w:rPr>
        <w:t xml:space="preserve">Raymond BERTHELOT, Ronan LE GARREC et Philippe LEBORGNE, </w:t>
      </w:r>
      <w:r>
        <w:rPr>
          <w:rFonts w:cs="Calibri"/>
          <w:sz w:val="20"/>
          <w:szCs w:val="20"/>
        </w:rPr>
        <w:t>délégué</w:t>
      </w:r>
      <w:r w:rsidR="008A4FF7">
        <w:rPr>
          <w:rFonts w:cs="Calibri"/>
          <w:sz w:val="20"/>
          <w:szCs w:val="20"/>
        </w:rPr>
        <w:t>s</w:t>
      </w:r>
      <w:r>
        <w:rPr>
          <w:rFonts w:cs="Calibri"/>
          <w:sz w:val="20"/>
          <w:szCs w:val="20"/>
        </w:rPr>
        <w:t xml:space="preserve"> suppléant</w:t>
      </w:r>
      <w:r w:rsidR="008A4FF7">
        <w:rPr>
          <w:rFonts w:cs="Calibri"/>
          <w:sz w:val="20"/>
          <w:szCs w:val="20"/>
        </w:rPr>
        <w:t>s</w:t>
      </w:r>
      <w:r>
        <w:rPr>
          <w:rFonts w:cs="Calibri"/>
          <w:sz w:val="20"/>
          <w:szCs w:val="20"/>
        </w:rPr>
        <w:t>.</w:t>
      </w:r>
    </w:p>
    <w:p w:rsidR="005C3D66" w:rsidRPr="00730A5A" w:rsidRDefault="005C3D66" w:rsidP="005C3D66">
      <w:pPr>
        <w:tabs>
          <w:tab w:val="left" w:pos="7371"/>
          <w:tab w:val="left" w:pos="8647"/>
        </w:tabs>
        <w:ind w:left="2127" w:right="-2"/>
        <w:rPr>
          <w:sz w:val="10"/>
          <w:szCs w:val="10"/>
        </w:rPr>
      </w:pPr>
    </w:p>
    <w:p w:rsidR="005C3D66" w:rsidRPr="005C3D66" w:rsidRDefault="005C3D66" w:rsidP="005C3D66">
      <w:pPr>
        <w:pStyle w:val="Corpsdetexte"/>
        <w:tabs>
          <w:tab w:val="left" w:pos="8647"/>
        </w:tabs>
        <w:ind w:left="2268" w:right="-2"/>
        <w:rPr>
          <w:rFonts w:ascii="Calibri" w:hAnsi="Calibri" w:cs="Calibri"/>
          <w:sz w:val="20"/>
        </w:rPr>
      </w:pPr>
      <w:r w:rsidRPr="005C3D66">
        <w:rPr>
          <w:rFonts w:ascii="Calibri" w:hAnsi="Calibri" w:cs="Calibri"/>
          <w:sz w:val="20"/>
        </w:rPr>
        <w:t>Absents ou excusés :</w:t>
      </w:r>
      <w:r w:rsidRPr="005C3D66">
        <w:rPr>
          <w:sz w:val="20"/>
        </w:rPr>
        <w:t xml:space="preserve"> </w:t>
      </w:r>
      <w:r w:rsidR="0074022D">
        <w:rPr>
          <w:rFonts w:ascii="Calibri" w:hAnsi="Calibri"/>
          <w:sz w:val="20"/>
        </w:rPr>
        <w:t>Daniel GUILLOTIN et</w:t>
      </w:r>
      <w:r w:rsidR="00CB1600" w:rsidRPr="00CB1600">
        <w:rPr>
          <w:rFonts w:ascii="Calibri" w:hAnsi="Calibri"/>
          <w:sz w:val="20"/>
        </w:rPr>
        <w:t xml:space="preserve"> </w:t>
      </w:r>
      <w:r w:rsidR="0074022D">
        <w:rPr>
          <w:rFonts w:ascii="Calibri" w:hAnsi="Calibri"/>
          <w:sz w:val="20"/>
        </w:rPr>
        <w:t xml:space="preserve">Loïc GODET, </w:t>
      </w:r>
      <w:r w:rsidR="00CB1600" w:rsidRPr="00CB1600">
        <w:rPr>
          <w:rFonts w:ascii="Calibri" w:hAnsi="Calibri"/>
          <w:sz w:val="20"/>
        </w:rPr>
        <w:t>Vice-président,</w:t>
      </w:r>
      <w:r w:rsidR="00CB1600">
        <w:rPr>
          <w:sz w:val="20"/>
        </w:rPr>
        <w:t xml:space="preserve"> </w:t>
      </w:r>
      <w:r w:rsidR="002B0FE9">
        <w:rPr>
          <w:rFonts w:ascii="Calibri" w:hAnsi="Calibri"/>
          <w:sz w:val="20"/>
        </w:rPr>
        <w:t xml:space="preserve">Alain COSSONNIERE, </w:t>
      </w:r>
      <w:r w:rsidRPr="005C3D66">
        <w:rPr>
          <w:rFonts w:ascii="Calibri" w:hAnsi="Calibri"/>
          <w:sz w:val="20"/>
        </w:rPr>
        <w:t xml:space="preserve">Yvonnick DAVID, </w:t>
      </w:r>
      <w:r w:rsidR="008A4FF7">
        <w:rPr>
          <w:rFonts w:ascii="Calibri" w:hAnsi="Calibri"/>
          <w:sz w:val="20"/>
        </w:rPr>
        <w:t xml:space="preserve">Olivier DEHAESE, </w:t>
      </w:r>
      <w:r w:rsidR="00CB1600">
        <w:rPr>
          <w:rFonts w:ascii="Calibri" w:hAnsi="Calibri"/>
          <w:sz w:val="20"/>
        </w:rPr>
        <w:t>Didier DUPERRIN, J</w:t>
      </w:r>
      <w:r w:rsidRPr="005C3D66">
        <w:rPr>
          <w:rFonts w:ascii="Calibri" w:hAnsi="Calibri"/>
          <w:sz w:val="20"/>
        </w:rPr>
        <w:t xml:space="preserve">ean-Yves GOMMELET, </w:t>
      </w:r>
      <w:r w:rsidR="002B0FE9">
        <w:rPr>
          <w:rFonts w:ascii="Calibri" w:hAnsi="Calibri"/>
          <w:sz w:val="20"/>
        </w:rPr>
        <w:t xml:space="preserve">Claude GUERIN, </w:t>
      </w:r>
      <w:r w:rsidR="00CB1600">
        <w:rPr>
          <w:rFonts w:ascii="Calibri" w:hAnsi="Calibri"/>
          <w:sz w:val="20"/>
        </w:rPr>
        <w:t xml:space="preserve">Gurval GUIGUEN, </w:t>
      </w:r>
      <w:r w:rsidR="008A4FF7">
        <w:rPr>
          <w:rFonts w:ascii="Calibri" w:hAnsi="Calibri"/>
          <w:sz w:val="20"/>
        </w:rPr>
        <w:t>André LATREILLE</w:t>
      </w:r>
      <w:r w:rsidR="002B0FE9">
        <w:rPr>
          <w:rFonts w:ascii="Calibri" w:hAnsi="Calibri"/>
          <w:sz w:val="20"/>
        </w:rPr>
        <w:t xml:space="preserve">, Yannick NADESAN, Alain PAUL, </w:t>
      </w:r>
      <w:r w:rsidR="006E1D5C">
        <w:rPr>
          <w:rFonts w:ascii="Calibri" w:hAnsi="Calibri"/>
          <w:sz w:val="20"/>
        </w:rPr>
        <w:t xml:space="preserve">Jacques </w:t>
      </w:r>
      <w:r w:rsidR="008A4FF7">
        <w:rPr>
          <w:rFonts w:ascii="Calibri" w:hAnsi="Calibri"/>
          <w:sz w:val="20"/>
        </w:rPr>
        <w:t xml:space="preserve">POUPART, Jacques </w:t>
      </w:r>
      <w:r w:rsidR="006E1D5C">
        <w:rPr>
          <w:rFonts w:ascii="Calibri" w:hAnsi="Calibri"/>
          <w:sz w:val="20"/>
        </w:rPr>
        <w:t>RENAULT</w:t>
      </w:r>
      <w:r w:rsidR="002B0FE9">
        <w:rPr>
          <w:rFonts w:ascii="Calibri" w:hAnsi="Calibri"/>
          <w:sz w:val="20"/>
        </w:rPr>
        <w:t xml:space="preserve"> et </w:t>
      </w:r>
      <w:r w:rsidR="008A4FF7">
        <w:rPr>
          <w:rFonts w:ascii="Calibri" w:hAnsi="Calibri"/>
          <w:sz w:val="20"/>
        </w:rPr>
        <w:t>Daniel TANCEREL</w:t>
      </w:r>
      <w:r w:rsidR="002B0FE9">
        <w:rPr>
          <w:rFonts w:ascii="Calibri" w:hAnsi="Calibri"/>
          <w:sz w:val="20"/>
        </w:rPr>
        <w:t>,</w:t>
      </w:r>
      <w:r w:rsidRPr="005C3D66">
        <w:rPr>
          <w:rFonts w:ascii="Calibri" w:hAnsi="Calibri"/>
          <w:sz w:val="20"/>
        </w:rPr>
        <w:t xml:space="preserve"> délégués titulaires</w:t>
      </w:r>
      <w:r w:rsidRPr="005C3D66">
        <w:rPr>
          <w:rFonts w:ascii="Calibri" w:hAnsi="Calibri" w:cs="Calibri"/>
          <w:sz w:val="20"/>
        </w:rPr>
        <w:t>.</w:t>
      </w:r>
    </w:p>
    <w:p w:rsidR="005C3D66" w:rsidRPr="005C3D66" w:rsidRDefault="007C4F10" w:rsidP="005C3D66">
      <w:pPr>
        <w:pStyle w:val="Corpsdetexte"/>
        <w:tabs>
          <w:tab w:val="left" w:pos="8647"/>
        </w:tabs>
        <w:ind w:left="2127" w:right="-2" w:firstLine="141"/>
        <w:rPr>
          <w:rFonts w:ascii="Calibri" w:hAnsi="Calibri"/>
          <w:sz w:val="10"/>
          <w:szCs w:val="10"/>
        </w:rPr>
      </w:pPr>
      <w:r>
        <w:rPr>
          <w:rFonts w:ascii="Calibri" w:hAnsi="Calibri"/>
          <w:sz w:val="10"/>
          <w:szCs w:val="10"/>
        </w:rPr>
        <w:t xml:space="preserve"> </w:t>
      </w:r>
    </w:p>
    <w:p w:rsidR="005C3D66" w:rsidRPr="005C3D66" w:rsidRDefault="005C3D66" w:rsidP="00D26603">
      <w:pPr>
        <w:pStyle w:val="Corpsdetexte"/>
        <w:tabs>
          <w:tab w:val="left" w:pos="8647"/>
        </w:tabs>
        <w:ind w:left="2268" w:right="-2"/>
        <w:rPr>
          <w:rFonts w:ascii="Calibri" w:hAnsi="Calibri"/>
          <w:sz w:val="20"/>
        </w:rPr>
      </w:pPr>
      <w:r w:rsidRPr="005C3D66">
        <w:rPr>
          <w:rFonts w:ascii="Calibri" w:hAnsi="Calibri"/>
          <w:sz w:val="20"/>
        </w:rPr>
        <w:t>Secrétaire de séance : Jean-Claude BELINE</w:t>
      </w:r>
    </w:p>
    <w:p w:rsidR="005C3D66" w:rsidRPr="00730A5A" w:rsidRDefault="005C3D66" w:rsidP="005C3D66">
      <w:pPr>
        <w:pStyle w:val="Corpsdetexte"/>
        <w:tabs>
          <w:tab w:val="left" w:pos="8647"/>
        </w:tabs>
        <w:ind w:right="-2"/>
        <w:rPr>
          <w:rFonts w:ascii="Calibri" w:hAnsi="Calibri"/>
          <w:b/>
          <w:sz w:val="10"/>
          <w:szCs w:val="10"/>
        </w:rPr>
      </w:pPr>
    </w:p>
    <w:p w:rsidR="005C3D66" w:rsidRDefault="005C3D66" w:rsidP="005C3D66">
      <w:pPr>
        <w:pStyle w:val="Normal9pt"/>
        <w:tabs>
          <w:tab w:val="left" w:pos="8647"/>
        </w:tabs>
        <w:spacing w:after="0" w:line="240" w:lineRule="auto"/>
        <w:ind w:right="-2"/>
        <w:rPr>
          <w:sz w:val="20"/>
          <w:szCs w:val="20"/>
          <w:lang w:val="fr-FR"/>
        </w:rPr>
      </w:pPr>
      <w:r w:rsidRPr="00CB2253">
        <w:rPr>
          <w:sz w:val="20"/>
          <w:szCs w:val="20"/>
          <w:lang w:val="fr-FR"/>
        </w:rPr>
        <w:t xml:space="preserve">Le Président déclare que le quorum est atteint, </w:t>
      </w:r>
      <w:r w:rsidR="002B0FE9" w:rsidRPr="008A4FF7">
        <w:rPr>
          <w:sz w:val="20"/>
          <w:szCs w:val="20"/>
          <w:lang w:val="fr-FR"/>
        </w:rPr>
        <w:t>2</w:t>
      </w:r>
      <w:r w:rsidR="008A4FF7" w:rsidRPr="008A4FF7">
        <w:rPr>
          <w:sz w:val="20"/>
          <w:szCs w:val="20"/>
          <w:lang w:val="fr-FR"/>
        </w:rPr>
        <w:t>5</w:t>
      </w:r>
      <w:r w:rsidRPr="00CB2253">
        <w:rPr>
          <w:sz w:val="20"/>
          <w:szCs w:val="20"/>
          <w:lang w:val="fr-FR"/>
        </w:rPr>
        <w:t xml:space="preserve"> membres sur les 3</w:t>
      </w:r>
      <w:r w:rsidR="006E1D5C">
        <w:rPr>
          <w:sz w:val="20"/>
          <w:szCs w:val="20"/>
          <w:lang w:val="fr-FR"/>
        </w:rPr>
        <w:t>6</w:t>
      </w:r>
      <w:r w:rsidRPr="00CB2253">
        <w:rPr>
          <w:sz w:val="20"/>
          <w:szCs w:val="20"/>
          <w:lang w:val="fr-FR"/>
        </w:rPr>
        <w:t xml:space="preserve"> membres en exercice étant présents et que le comité peut valablement délibérer.</w:t>
      </w:r>
    </w:p>
    <w:p w:rsidR="005008EE" w:rsidRPr="00525BC0" w:rsidRDefault="005008EE" w:rsidP="005008EE">
      <w:pPr>
        <w:rPr>
          <w:rFonts w:cs="Calibri"/>
          <w:iCs/>
          <w:color w:val="000000"/>
          <w:szCs w:val="22"/>
          <w:lang w:eastAsia="x-none"/>
        </w:rPr>
      </w:pPr>
    </w:p>
    <w:p w:rsidR="00D303F0" w:rsidRPr="00FB27C6" w:rsidRDefault="00D303F0" w:rsidP="002C51B0">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6"/>
          <w:szCs w:val="26"/>
          <w:lang w:eastAsia="en-US"/>
        </w:rPr>
      </w:pPr>
      <w:r w:rsidRPr="00FB27C6">
        <w:rPr>
          <w:rFonts w:ascii="Venacti Sb" w:hAnsi="Venacti Sb"/>
          <w:color w:val="FFFFFF"/>
          <w:sz w:val="26"/>
          <w:szCs w:val="26"/>
          <w:lang w:eastAsia="en-US"/>
        </w:rPr>
        <w:t>Ordre du jour</w:t>
      </w:r>
    </w:p>
    <w:p w:rsidR="00371260" w:rsidRDefault="00371260" w:rsidP="00371260">
      <w:pPr>
        <w:jc w:val="left"/>
        <w:rPr>
          <w:rFonts w:ascii="Calibri" w:hAnsi="Calibri"/>
          <w:bCs/>
          <w:i/>
          <w:szCs w:val="22"/>
        </w:rPr>
      </w:pPr>
      <w:bookmarkStart w:id="1" w:name="OLE_LINK1"/>
      <w:bookmarkStart w:id="2" w:name="OLE_LINK2"/>
    </w:p>
    <w:p w:rsidR="00525BC0" w:rsidRPr="00525BC0" w:rsidRDefault="00525BC0" w:rsidP="00525BC0">
      <w:pPr>
        <w:jc w:val="left"/>
        <w:rPr>
          <w:rFonts w:ascii="Calibri" w:hAnsi="Calibri"/>
          <w:szCs w:val="22"/>
        </w:rPr>
      </w:pPr>
      <w:r w:rsidRPr="00525BC0">
        <w:rPr>
          <w:rFonts w:ascii="Calibri" w:hAnsi="Calibri"/>
          <w:szCs w:val="22"/>
        </w:rPr>
        <w:t>1.</w:t>
      </w:r>
      <w:r w:rsidRPr="00525BC0">
        <w:rPr>
          <w:rFonts w:ascii="Calibri" w:hAnsi="Calibri"/>
          <w:szCs w:val="22"/>
        </w:rPr>
        <w:tab/>
        <w:t>Désignation d’un secrétaire de séance</w:t>
      </w:r>
    </w:p>
    <w:p w:rsidR="00525BC0" w:rsidRPr="00525BC0" w:rsidRDefault="00525BC0" w:rsidP="00525BC0">
      <w:pPr>
        <w:jc w:val="left"/>
        <w:rPr>
          <w:rFonts w:ascii="Calibri" w:hAnsi="Calibri"/>
          <w:szCs w:val="22"/>
        </w:rPr>
      </w:pPr>
      <w:r w:rsidRPr="00525BC0">
        <w:rPr>
          <w:rFonts w:ascii="Calibri" w:hAnsi="Calibri"/>
          <w:szCs w:val="22"/>
        </w:rPr>
        <w:t>2.</w:t>
      </w:r>
      <w:r w:rsidRPr="00525BC0">
        <w:rPr>
          <w:rFonts w:ascii="Calibri" w:hAnsi="Calibri"/>
          <w:szCs w:val="22"/>
        </w:rPr>
        <w:tab/>
        <w:t>Approbation du procès-verbal de la réunion du Comité syndical du 27 février 2018</w:t>
      </w:r>
    </w:p>
    <w:p w:rsidR="00525BC0" w:rsidRPr="00525BC0" w:rsidRDefault="00525BC0" w:rsidP="00525BC0">
      <w:pPr>
        <w:jc w:val="left"/>
        <w:rPr>
          <w:rFonts w:ascii="Calibri" w:hAnsi="Calibri"/>
          <w:szCs w:val="22"/>
        </w:rPr>
      </w:pPr>
      <w:r w:rsidRPr="00525BC0">
        <w:rPr>
          <w:rFonts w:ascii="Calibri" w:hAnsi="Calibri"/>
          <w:szCs w:val="22"/>
        </w:rPr>
        <w:t>3.</w:t>
      </w:r>
      <w:r w:rsidRPr="00525BC0">
        <w:rPr>
          <w:rFonts w:ascii="Calibri" w:hAnsi="Calibri"/>
          <w:szCs w:val="22"/>
        </w:rPr>
        <w:tab/>
        <w:t>Finances – Décision modificative n° 2/2018</w:t>
      </w:r>
    </w:p>
    <w:p w:rsidR="00525BC0" w:rsidRPr="00525BC0" w:rsidRDefault="00525BC0" w:rsidP="00525BC0">
      <w:pPr>
        <w:jc w:val="left"/>
        <w:rPr>
          <w:rFonts w:ascii="Calibri" w:hAnsi="Calibri"/>
          <w:szCs w:val="22"/>
        </w:rPr>
      </w:pPr>
      <w:r w:rsidRPr="00525BC0">
        <w:rPr>
          <w:rFonts w:ascii="Calibri" w:hAnsi="Calibri"/>
          <w:szCs w:val="22"/>
        </w:rPr>
        <w:t>4.</w:t>
      </w:r>
      <w:r w:rsidRPr="00525BC0">
        <w:rPr>
          <w:rFonts w:ascii="Calibri" w:hAnsi="Calibri"/>
          <w:szCs w:val="22"/>
        </w:rPr>
        <w:tab/>
        <w:t>Finances – Demandes de dérogations au guide des aides 2018</w:t>
      </w:r>
    </w:p>
    <w:p w:rsidR="00525BC0" w:rsidRPr="00525BC0" w:rsidRDefault="00525BC0" w:rsidP="00525BC0">
      <w:pPr>
        <w:jc w:val="left"/>
        <w:rPr>
          <w:rFonts w:ascii="Calibri" w:hAnsi="Calibri"/>
          <w:szCs w:val="22"/>
        </w:rPr>
      </w:pPr>
      <w:r w:rsidRPr="00525BC0">
        <w:rPr>
          <w:rFonts w:ascii="Calibri" w:hAnsi="Calibri"/>
          <w:szCs w:val="22"/>
        </w:rPr>
        <w:t>5.</w:t>
      </w:r>
      <w:r w:rsidRPr="00525BC0">
        <w:rPr>
          <w:rFonts w:ascii="Calibri" w:hAnsi="Calibri"/>
          <w:szCs w:val="22"/>
        </w:rPr>
        <w:tab/>
        <w:t>Finances – Demande de subvention de l’association Energy Cities</w:t>
      </w:r>
    </w:p>
    <w:p w:rsidR="00525BC0" w:rsidRPr="00525BC0" w:rsidRDefault="00525BC0" w:rsidP="00525BC0">
      <w:pPr>
        <w:jc w:val="left"/>
        <w:rPr>
          <w:rFonts w:ascii="Calibri" w:hAnsi="Calibri"/>
          <w:szCs w:val="22"/>
        </w:rPr>
      </w:pPr>
      <w:r w:rsidRPr="00525BC0">
        <w:rPr>
          <w:rFonts w:ascii="Calibri" w:hAnsi="Calibri"/>
          <w:szCs w:val="22"/>
        </w:rPr>
        <w:t>6.</w:t>
      </w:r>
      <w:r w:rsidRPr="00525BC0">
        <w:rPr>
          <w:rFonts w:ascii="Calibri" w:hAnsi="Calibri"/>
          <w:szCs w:val="22"/>
        </w:rPr>
        <w:tab/>
        <w:t>Ressources hum</w:t>
      </w:r>
      <w:r>
        <w:rPr>
          <w:rFonts w:ascii="Calibri" w:hAnsi="Calibri"/>
          <w:szCs w:val="22"/>
        </w:rPr>
        <w:t>aines – Adhésion à Pôle Emploi</w:t>
      </w:r>
      <w:r>
        <w:rPr>
          <w:rFonts w:ascii="Calibri" w:hAnsi="Calibri"/>
          <w:szCs w:val="22"/>
        </w:rPr>
        <w:tab/>
      </w:r>
    </w:p>
    <w:p w:rsidR="00525BC0" w:rsidRPr="00525BC0" w:rsidRDefault="00525BC0" w:rsidP="00525BC0">
      <w:pPr>
        <w:jc w:val="left"/>
        <w:rPr>
          <w:rFonts w:ascii="Calibri" w:hAnsi="Calibri"/>
          <w:szCs w:val="22"/>
        </w:rPr>
      </w:pPr>
      <w:r w:rsidRPr="00525BC0">
        <w:rPr>
          <w:rFonts w:ascii="Calibri" w:hAnsi="Calibri"/>
          <w:szCs w:val="22"/>
        </w:rPr>
        <w:t>7.</w:t>
      </w:r>
      <w:r w:rsidRPr="00525BC0">
        <w:rPr>
          <w:rFonts w:ascii="Calibri" w:hAnsi="Calibri"/>
          <w:szCs w:val="22"/>
        </w:rPr>
        <w:tab/>
        <w:t>Ressources humaines – Indemnité kilométrique vélo</w:t>
      </w:r>
    </w:p>
    <w:p w:rsidR="00525BC0" w:rsidRPr="00525BC0" w:rsidRDefault="00525BC0" w:rsidP="00525BC0">
      <w:pPr>
        <w:ind w:left="709" w:hanging="709"/>
        <w:jc w:val="left"/>
        <w:rPr>
          <w:rFonts w:ascii="Calibri" w:hAnsi="Calibri"/>
          <w:szCs w:val="22"/>
        </w:rPr>
      </w:pPr>
      <w:r w:rsidRPr="00525BC0">
        <w:rPr>
          <w:rFonts w:ascii="Calibri" w:hAnsi="Calibri"/>
          <w:szCs w:val="22"/>
        </w:rPr>
        <w:t>8.</w:t>
      </w:r>
      <w:r w:rsidRPr="00525BC0">
        <w:rPr>
          <w:rFonts w:ascii="Calibri" w:hAnsi="Calibri"/>
          <w:szCs w:val="22"/>
        </w:rPr>
        <w:tab/>
        <w:t>Concession – Convention relative à l’intégration dans l’environnement des ouvrages de la concession de distribution publiques d’électricité (article 8)</w:t>
      </w:r>
    </w:p>
    <w:p w:rsidR="00525BC0" w:rsidRPr="00525BC0" w:rsidRDefault="00525BC0" w:rsidP="00525BC0">
      <w:pPr>
        <w:jc w:val="left"/>
        <w:rPr>
          <w:rFonts w:ascii="Calibri" w:hAnsi="Calibri"/>
          <w:szCs w:val="22"/>
        </w:rPr>
      </w:pPr>
      <w:r w:rsidRPr="00525BC0">
        <w:rPr>
          <w:rFonts w:ascii="Calibri" w:hAnsi="Calibri"/>
          <w:szCs w:val="22"/>
        </w:rPr>
        <w:t>9.</w:t>
      </w:r>
      <w:r w:rsidRPr="00525BC0">
        <w:rPr>
          <w:rFonts w:ascii="Calibri" w:hAnsi="Calibri"/>
          <w:szCs w:val="22"/>
        </w:rPr>
        <w:tab/>
        <w:t>Concession – Avenant au contrat de concession relatif à l’application du protocole PCT</w:t>
      </w:r>
    </w:p>
    <w:p w:rsidR="00525BC0" w:rsidRPr="00525BC0" w:rsidRDefault="00525BC0" w:rsidP="00525BC0">
      <w:pPr>
        <w:jc w:val="left"/>
        <w:rPr>
          <w:rFonts w:ascii="Calibri" w:hAnsi="Calibri"/>
          <w:szCs w:val="22"/>
        </w:rPr>
      </w:pPr>
      <w:r w:rsidRPr="00525BC0">
        <w:rPr>
          <w:rFonts w:ascii="Calibri" w:hAnsi="Calibri"/>
          <w:szCs w:val="22"/>
        </w:rPr>
        <w:t>10.</w:t>
      </w:r>
      <w:r w:rsidRPr="00525BC0">
        <w:rPr>
          <w:rFonts w:ascii="Calibri" w:hAnsi="Calibri"/>
          <w:szCs w:val="22"/>
        </w:rPr>
        <w:tab/>
        <w:t>Concession – Retour sur la conférence Loi Nome</w:t>
      </w:r>
    </w:p>
    <w:p w:rsidR="00525BC0" w:rsidRPr="00525BC0" w:rsidRDefault="00525BC0" w:rsidP="00525BC0">
      <w:pPr>
        <w:jc w:val="left"/>
        <w:rPr>
          <w:rFonts w:ascii="Calibri" w:hAnsi="Calibri"/>
          <w:szCs w:val="22"/>
        </w:rPr>
      </w:pPr>
      <w:r w:rsidRPr="00525BC0">
        <w:rPr>
          <w:rFonts w:ascii="Calibri" w:hAnsi="Calibri"/>
          <w:szCs w:val="22"/>
        </w:rPr>
        <w:t>11.</w:t>
      </w:r>
      <w:r w:rsidRPr="00525BC0">
        <w:rPr>
          <w:rFonts w:ascii="Calibri" w:hAnsi="Calibri"/>
          <w:szCs w:val="22"/>
        </w:rPr>
        <w:tab/>
        <w:t>Marchés publics – Etat des lieux des marchés formalisés à lancer en 2018</w:t>
      </w:r>
    </w:p>
    <w:p w:rsidR="00525BC0" w:rsidRPr="00525BC0" w:rsidRDefault="00525BC0" w:rsidP="00525BC0">
      <w:pPr>
        <w:jc w:val="left"/>
        <w:rPr>
          <w:rFonts w:ascii="Calibri" w:hAnsi="Calibri"/>
          <w:szCs w:val="22"/>
        </w:rPr>
      </w:pPr>
      <w:r w:rsidRPr="00525BC0">
        <w:rPr>
          <w:rFonts w:ascii="Calibri" w:hAnsi="Calibri"/>
          <w:szCs w:val="22"/>
        </w:rPr>
        <w:t>12.</w:t>
      </w:r>
      <w:r w:rsidRPr="00525BC0">
        <w:rPr>
          <w:rFonts w:ascii="Calibri" w:hAnsi="Calibri"/>
          <w:szCs w:val="22"/>
        </w:rPr>
        <w:tab/>
        <w:t>Marchés publics – Accord-cadre d’achat de matériel d’éclairage public</w:t>
      </w:r>
    </w:p>
    <w:p w:rsidR="00525BC0" w:rsidRPr="00525BC0" w:rsidRDefault="00525BC0" w:rsidP="00525BC0">
      <w:pPr>
        <w:jc w:val="left"/>
        <w:rPr>
          <w:rFonts w:ascii="Calibri" w:hAnsi="Calibri"/>
          <w:szCs w:val="22"/>
        </w:rPr>
      </w:pPr>
      <w:r w:rsidRPr="00525BC0">
        <w:rPr>
          <w:rFonts w:ascii="Calibri" w:hAnsi="Calibri"/>
          <w:szCs w:val="22"/>
        </w:rPr>
        <w:t>13.</w:t>
      </w:r>
      <w:r w:rsidRPr="00525BC0">
        <w:rPr>
          <w:rFonts w:ascii="Calibri" w:hAnsi="Calibri"/>
          <w:szCs w:val="22"/>
        </w:rPr>
        <w:tab/>
        <w:t>Information des attributions exercées par le bureau par délégation du comité</w:t>
      </w:r>
    </w:p>
    <w:p w:rsidR="00525BC0" w:rsidRPr="00525BC0" w:rsidRDefault="00525BC0" w:rsidP="00525BC0">
      <w:pPr>
        <w:jc w:val="left"/>
        <w:rPr>
          <w:rFonts w:ascii="Calibri" w:hAnsi="Calibri"/>
          <w:szCs w:val="22"/>
        </w:rPr>
      </w:pPr>
      <w:r w:rsidRPr="00525BC0">
        <w:rPr>
          <w:rFonts w:ascii="Calibri" w:hAnsi="Calibri"/>
          <w:szCs w:val="22"/>
        </w:rPr>
        <w:t>14.</w:t>
      </w:r>
      <w:r w:rsidRPr="00525BC0">
        <w:rPr>
          <w:rFonts w:ascii="Calibri" w:hAnsi="Calibri"/>
          <w:szCs w:val="22"/>
        </w:rPr>
        <w:tab/>
        <w:t>Information des attributions exercées par le président par délégation du comité</w:t>
      </w:r>
    </w:p>
    <w:p w:rsidR="00614A11" w:rsidRDefault="00525BC0" w:rsidP="00525BC0">
      <w:pPr>
        <w:jc w:val="left"/>
        <w:rPr>
          <w:rFonts w:ascii="Calibri" w:hAnsi="Calibri"/>
          <w:szCs w:val="22"/>
        </w:rPr>
      </w:pPr>
      <w:r w:rsidRPr="00525BC0">
        <w:rPr>
          <w:rFonts w:ascii="Calibri" w:hAnsi="Calibri"/>
          <w:szCs w:val="22"/>
        </w:rPr>
        <w:t>15.</w:t>
      </w:r>
      <w:r w:rsidRPr="00525BC0">
        <w:rPr>
          <w:rFonts w:ascii="Calibri" w:hAnsi="Calibri"/>
          <w:szCs w:val="22"/>
        </w:rPr>
        <w:tab/>
        <w:t>Questions diverses</w:t>
      </w:r>
    </w:p>
    <w:p w:rsidR="00614A11" w:rsidRPr="008C6AF8" w:rsidRDefault="00614A11" w:rsidP="008C6AF8">
      <w:pPr>
        <w:jc w:val="left"/>
        <w:rPr>
          <w:rFonts w:ascii="Calibri" w:hAnsi="Calibri"/>
          <w:szCs w:val="22"/>
        </w:rPr>
      </w:pPr>
    </w:p>
    <w:p w:rsidR="00DF7E34" w:rsidRPr="00C84503" w:rsidRDefault="00DF7E34" w:rsidP="002D2150">
      <w:pPr>
        <w:pStyle w:val="Paragraphedeliste"/>
        <w:numPr>
          <w:ilvl w:val="0"/>
          <w:numId w:val="9"/>
        </w:numPr>
        <w:pBdr>
          <w:top w:val="single" w:sz="4" w:space="0" w:color="808080"/>
          <w:left w:val="single" w:sz="4" w:space="4" w:color="808080"/>
          <w:bottom w:val="single" w:sz="4" w:space="1" w:color="808080"/>
          <w:right w:val="single" w:sz="4" w:space="4" w:color="808080"/>
        </w:pBdr>
        <w:shd w:val="clear" w:color="auto" w:fill="595959"/>
        <w:ind w:left="567" w:right="-1" w:hanging="567"/>
        <w:rPr>
          <w:rFonts w:ascii="Venacti Sb" w:hAnsi="Venacti Sb"/>
          <w:color w:val="FFFFFF"/>
          <w:sz w:val="24"/>
        </w:rPr>
      </w:pPr>
      <w:r>
        <w:rPr>
          <w:rFonts w:ascii="Venacti Sb" w:hAnsi="Venacti Sb"/>
          <w:color w:val="FFFFFF"/>
          <w:sz w:val="24"/>
        </w:rPr>
        <w:t>Désignation d’un secrétaire de séance</w:t>
      </w:r>
    </w:p>
    <w:p w:rsidR="00DF7E34" w:rsidRPr="007F01C2" w:rsidRDefault="00DF7E34" w:rsidP="00DF7E34">
      <w:pPr>
        <w:rPr>
          <w:szCs w:val="22"/>
        </w:rPr>
      </w:pPr>
    </w:p>
    <w:p w:rsidR="006E1D5C" w:rsidRDefault="00DF7E34" w:rsidP="00DF7E34">
      <w:pPr>
        <w:rPr>
          <w:rFonts w:ascii="Calibri" w:hAnsi="Calibri"/>
          <w:szCs w:val="22"/>
        </w:rPr>
      </w:pPr>
      <w:r>
        <w:rPr>
          <w:rFonts w:ascii="Calibri" w:hAnsi="Calibri"/>
          <w:szCs w:val="22"/>
        </w:rPr>
        <w:t xml:space="preserve">Le président propose au comité de désigner </w:t>
      </w:r>
      <w:r w:rsidR="001D2B9D">
        <w:rPr>
          <w:rFonts w:ascii="Calibri" w:hAnsi="Calibri"/>
          <w:szCs w:val="22"/>
        </w:rPr>
        <w:t>Monsieur</w:t>
      </w:r>
      <w:r>
        <w:rPr>
          <w:rFonts w:ascii="Calibri" w:hAnsi="Calibri"/>
          <w:szCs w:val="22"/>
        </w:rPr>
        <w:t xml:space="preserve"> Jean-Claude BELINE en qualité de secrétaire de séance.</w:t>
      </w:r>
    </w:p>
    <w:p w:rsidR="00DF7E34" w:rsidRDefault="00DF7E34" w:rsidP="00DF7E34">
      <w:pPr>
        <w:rPr>
          <w:rFonts w:ascii="Calibri" w:hAnsi="Calibri"/>
          <w:szCs w:val="22"/>
        </w:rPr>
      </w:pPr>
      <w:r>
        <w:rPr>
          <w:rFonts w:ascii="Calibri" w:hAnsi="Calibri"/>
          <w:szCs w:val="22"/>
        </w:rPr>
        <w:t>Le comité, à l’unanimité, approuve cette proposition.</w:t>
      </w:r>
    </w:p>
    <w:p w:rsidR="00DF7E34" w:rsidRDefault="00DF7E34" w:rsidP="00DF7E34">
      <w:pPr>
        <w:rPr>
          <w:rFonts w:ascii="Calibri" w:hAnsi="Calibri"/>
          <w:szCs w:val="22"/>
        </w:rPr>
      </w:pPr>
    </w:p>
    <w:p w:rsidR="00525BC0" w:rsidRDefault="00525BC0" w:rsidP="00DF7E34">
      <w:pPr>
        <w:rPr>
          <w:rFonts w:ascii="Calibri" w:hAnsi="Calibri"/>
          <w:szCs w:val="22"/>
        </w:rPr>
      </w:pPr>
    </w:p>
    <w:p w:rsidR="00525BC0" w:rsidRDefault="00525BC0" w:rsidP="00DF7E34">
      <w:pPr>
        <w:rPr>
          <w:rFonts w:ascii="Calibri" w:hAnsi="Calibri"/>
          <w:szCs w:val="22"/>
        </w:rPr>
      </w:pPr>
    </w:p>
    <w:p w:rsidR="00525BC0" w:rsidRDefault="00525BC0" w:rsidP="00DF7E34">
      <w:pPr>
        <w:rPr>
          <w:rFonts w:ascii="Calibri" w:hAnsi="Calibri"/>
          <w:szCs w:val="22"/>
        </w:rPr>
      </w:pPr>
    </w:p>
    <w:p w:rsidR="00413F1B" w:rsidRPr="00C84503" w:rsidRDefault="00A00832"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6"/>
          <w:szCs w:val="26"/>
          <w:lang w:eastAsia="en-US"/>
        </w:rPr>
      </w:pPr>
      <w:r w:rsidRPr="00C84503">
        <w:rPr>
          <w:rFonts w:ascii="Venacti Sb" w:hAnsi="Venacti Sb"/>
          <w:bCs/>
          <w:color w:val="FFFFFF"/>
          <w:sz w:val="26"/>
          <w:szCs w:val="26"/>
          <w:lang w:eastAsia="en-US"/>
        </w:rPr>
        <w:t xml:space="preserve">Approbation du </w:t>
      </w:r>
      <w:r w:rsidR="009F5DA7">
        <w:rPr>
          <w:rFonts w:ascii="Venacti Sb" w:hAnsi="Venacti Sb"/>
          <w:bCs/>
          <w:color w:val="FFFFFF"/>
          <w:sz w:val="26"/>
          <w:szCs w:val="26"/>
          <w:lang w:eastAsia="en-US"/>
        </w:rPr>
        <w:t>procès-verbal de la réunion du c</w:t>
      </w:r>
      <w:r w:rsidRPr="00C84503">
        <w:rPr>
          <w:rFonts w:ascii="Venacti Sb" w:hAnsi="Venacti Sb"/>
          <w:bCs/>
          <w:color w:val="FFFFFF"/>
          <w:sz w:val="26"/>
          <w:szCs w:val="26"/>
          <w:lang w:eastAsia="en-US"/>
        </w:rPr>
        <w:t>omité syndical du</w:t>
      </w:r>
      <w:r w:rsidR="00264929">
        <w:rPr>
          <w:rFonts w:ascii="Venacti Sb" w:hAnsi="Venacti Sb"/>
          <w:bCs/>
          <w:color w:val="FFFFFF"/>
          <w:sz w:val="26"/>
          <w:szCs w:val="26"/>
          <w:lang w:eastAsia="en-US"/>
        </w:rPr>
        <w:t xml:space="preserve"> </w:t>
      </w:r>
      <w:r w:rsidR="008A4FF7">
        <w:rPr>
          <w:rFonts w:ascii="Venacti Sb" w:hAnsi="Venacti Sb"/>
          <w:bCs/>
          <w:color w:val="FFFFFF"/>
          <w:sz w:val="26"/>
          <w:szCs w:val="26"/>
          <w:lang w:eastAsia="en-US"/>
        </w:rPr>
        <w:t>27 février</w:t>
      </w:r>
      <w:r w:rsidR="008C6AF8">
        <w:rPr>
          <w:rFonts w:ascii="Venacti Sb" w:hAnsi="Venacti Sb"/>
          <w:bCs/>
          <w:color w:val="FFFFFF"/>
          <w:sz w:val="26"/>
          <w:szCs w:val="26"/>
          <w:lang w:eastAsia="en-US"/>
        </w:rPr>
        <w:t xml:space="preserve"> 2018</w:t>
      </w:r>
    </w:p>
    <w:p w:rsidR="00413F1B" w:rsidRPr="007F01C2" w:rsidRDefault="00413F1B" w:rsidP="00413F1B">
      <w:pPr>
        <w:rPr>
          <w:rFonts w:ascii="Calibri" w:hAnsi="Calibri"/>
          <w:szCs w:val="22"/>
        </w:rPr>
      </w:pPr>
    </w:p>
    <w:p w:rsidR="00371260" w:rsidRDefault="00371260" w:rsidP="00371260">
      <w:pPr>
        <w:rPr>
          <w:rFonts w:ascii="Calibri" w:hAnsi="Calibri"/>
          <w:szCs w:val="22"/>
        </w:rPr>
      </w:pPr>
      <w:r w:rsidRPr="00371260">
        <w:rPr>
          <w:rFonts w:ascii="Calibri" w:hAnsi="Calibri"/>
          <w:szCs w:val="22"/>
        </w:rPr>
        <w:t xml:space="preserve">Le </w:t>
      </w:r>
      <w:r w:rsidR="00200868">
        <w:rPr>
          <w:rFonts w:ascii="Calibri" w:hAnsi="Calibri"/>
          <w:szCs w:val="22"/>
        </w:rPr>
        <w:t>procès-verbal de la réunion du c</w:t>
      </w:r>
      <w:r w:rsidRPr="00371260">
        <w:rPr>
          <w:rFonts w:ascii="Calibri" w:hAnsi="Calibri"/>
          <w:szCs w:val="22"/>
        </w:rPr>
        <w:t xml:space="preserve">omité du </w:t>
      </w:r>
      <w:r w:rsidR="00525BC0">
        <w:rPr>
          <w:rFonts w:ascii="Calibri" w:hAnsi="Calibri"/>
          <w:szCs w:val="22"/>
        </w:rPr>
        <w:t xml:space="preserve">27 février </w:t>
      </w:r>
      <w:r w:rsidR="008C6AF8">
        <w:rPr>
          <w:rFonts w:ascii="Calibri" w:hAnsi="Calibri"/>
          <w:szCs w:val="22"/>
        </w:rPr>
        <w:t>2018</w:t>
      </w:r>
      <w:r w:rsidRPr="00371260">
        <w:rPr>
          <w:rFonts w:ascii="Calibri" w:hAnsi="Calibri"/>
          <w:szCs w:val="22"/>
        </w:rPr>
        <w:t xml:space="preserve"> </w:t>
      </w:r>
      <w:r w:rsidR="006A67E3">
        <w:rPr>
          <w:rFonts w:ascii="Calibri" w:hAnsi="Calibri"/>
          <w:szCs w:val="22"/>
        </w:rPr>
        <w:t>est</w:t>
      </w:r>
      <w:r w:rsidRPr="00371260">
        <w:rPr>
          <w:rFonts w:ascii="Calibri" w:hAnsi="Calibri"/>
          <w:szCs w:val="22"/>
        </w:rPr>
        <w:t xml:space="preserve"> soumis pour approbation au comité</w:t>
      </w:r>
      <w:r w:rsidR="00200868">
        <w:rPr>
          <w:rFonts w:ascii="Calibri" w:hAnsi="Calibri"/>
          <w:szCs w:val="22"/>
        </w:rPr>
        <w:t xml:space="preserve"> syndical</w:t>
      </w:r>
      <w:r w:rsidR="00960664">
        <w:rPr>
          <w:rFonts w:ascii="Calibri" w:hAnsi="Calibri"/>
          <w:szCs w:val="22"/>
        </w:rPr>
        <w:t>.</w:t>
      </w:r>
      <w:r w:rsidR="00D26603">
        <w:rPr>
          <w:rFonts w:ascii="Calibri" w:hAnsi="Calibri"/>
          <w:szCs w:val="22"/>
        </w:rPr>
        <w:t xml:space="preserve"> </w:t>
      </w:r>
      <w:r w:rsidRPr="00371260">
        <w:rPr>
          <w:rFonts w:ascii="Calibri" w:hAnsi="Calibri"/>
          <w:szCs w:val="22"/>
        </w:rPr>
        <w:t xml:space="preserve">Il </w:t>
      </w:r>
      <w:r w:rsidR="006A67E3">
        <w:rPr>
          <w:rFonts w:ascii="Calibri" w:hAnsi="Calibri"/>
          <w:szCs w:val="22"/>
        </w:rPr>
        <w:t>a été</w:t>
      </w:r>
      <w:r w:rsidRPr="00371260">
        <w:rPr>
          <w:rFonts w:ascii="Calibri" w:hAnsi="Calibri"/>
          <w:szCs w:val="22"/>
        </w:rPr>
        <w:t xml:space="preserve"> adressé avec la convocation </w:t>
      </w:r>
      <w:r w:rsidR="00264929">
        <w:rPr>
          <w:rFonts w:ascii="Calibri" w:hAnsi="Calibri"/>
          <w:szCs w:val="22"/>
        </w:rPr>
        <w:t xml:space="preserve">à la réunion </w:t>
      </w:r>
      <w:r w:rsidR="00C0642D">
        <w:rPr>
          <w:rFonts w:ascii="Calibri" w:hAnsi="Calibri"/>
          <w:szCs w:val="22"/>
        </w:rPr>
        <w:t xml:space="preserve">du </w:t>
      </w:r>
      <w:r w:rsidR="00525BC0">
        <w:rPr>
          <w:rFonts w:ascii="Calibri" w:hAnsi="Calibri"/>
          <w:szCs w:val="22"/>
        </w:rPr>
        <w:t>10 avril</w:t>
      </w:r>
      <w:r w:rsidR="00C0642D">
        <w:rPr>
          <w:rFonts w:ascii="Calibri" w:hAnsi="Calibri"/>
          <w:szCs w:val="22"/>
        </w:rPr>
        <w:t xml:space="preserve"> 2018.</w:t>
      </w:r>
    </w:p>
    <w:p w:rsidR="001C0B2D" w:rsidRDefault="001C0B2D" w:rsidP="001C0B2D">
      <w:pPr>
        <w:pStyle w:val="Puceorange"/>
        <w:numPr>
          <w:ilvl w:val="0"/>
          <w:numId w:val="0"/>
        </w:numPr>
        <w:spacing w:line="240" w:lineRule="auto"/>
        <w:rPr>
          <w:rFonts w:ascii="Calibri" w:hAnsi="Calibri"/>
          <w:szCs w:val="22"/>
          <w:lang w:val="fr-FR"/>
        </w:rPr>
      </w:pPr>
    </w:p>
    <w:p w:rsidR="001C0B2D" w:rsidRPr="00015181" w:rsidRDefault="001C0B2D" w:rsidP="000362EE">
      <w:pPr>
        <w:pStyle w:val="Puceorange"/>
        <w:numPr>
          <w:ilvl w:val="0"/>
          <w:numId w:val="0"/>
        </w:numPr>
        <w:spacing w:line="240" w:lineRule="auto"/>
        <w:rPr>
          <w:rFonts w:ascii="Calibri" w:hAnsi="Calibri"/>
          <w:i/>
          <w:szCs w:val="22"/>
          <w:lang w:val="fr-FR"/>
        </w:rPr>
      </w:pPr>
      <w:r w:rsidRPr="00E82999">
        <w:rPr>
          <w:rFonts w:ascii="Calibri" w:hAnsi="Calibri"/>
          <w:szCs w:val="22"/>
        </w:rPr>
        <w:t xml:space="preserve">Rappel de l’ordre du jour : </w:t>
      </w:r>
    </w:p>
    <w:p w:rsidR="00525BC0" w:rsidRPr="008C6AF8" w:rsidRDefault="00525BC0" w:rsidP="00525BC0">
      <w:pPr>
        <w:jc w:val="left"/>
        <w:rPr>
          <w:rFonts w:ascii="Calibri" w:hAnsi="Calibri"/>
          <w:szCs w:val="22"/>
        </w:rPr>
      </w:pPr>
      <w:r w:rsidRPr="008C6AF8">
        <w:rPr>
          <w:rFonts w:ascii="Calibri" w:hAnsi="Calibri"/>
          <w:szCs w:val="22"/>
        </w:rPr>
        <w:t>1.</w:t>
      </w:r>
      <w:r w:rsidRPr="008C6AF8">
        <w:rPr>
          <w:rFonts w:ascii="Calibri" w:hAnsi="Calibri"/>
          <w:szCs w:val="22"/>
        </w:rPr>
        <w:tab/>
        <w:t>Désignation d’un secrétaire de séance</w:t>
      </w:r>
    </w:p>
    <w:p w:rsidR="00525BC0" w:rsidRPr="008C6AF8" w:rsidRDefault="00525BC0" w:rsidP="00525BC0">
      <w:pPr>
        <w:jc w:val="left"/>
        <w:rPr>
          <w:rFonts w:ascii="Calibri" w:hAnsi="Calibri"/>
          <w:szCs w:val="22"/>
        </w:rPr>
      </w:pPr>
      <w:r w:rsidRPr="008C6AF8">
        <w:rPr>
          <w:rFonts w:ascii="Calibri" w:hAnsi="Calibri"/>
          <w:szCs w:val="22"/>
        </w:rPr>
        <w:t>2.</w:t>
      </w:r>
      <w:r w:rsidRPr="008C6AF8">
        <w:rPr>
          <w:rFonts w:ascii="Calibri" w:hAnsi="Calibri"/>
          <w:szCs w:val="22"/>
        </w:rPr>
        <w:tab/>
        <w:t>Approbation du procès-verbal de la réunion du Comité syndical du 30 janvier 2018</w:t>
      </w:r>
    </w:p>
    <w:p w:rsidR="00525BC0" w:rsidRPr="008C6AF8" w:rsidRDefault="00525BC0" w:rsidP="00525BC0">
      <w:pPr>
        <w:jc w:val="left"/>
        <w:rPr>
          <w:rFonts w:ascii="Calibri" w:hAnsi="Calibri"/>
          <w:szCs w:val="22"/>
        </w:rPr>
      </w:pPr>
      <w:r w:rsidRPr="008C6AF8">
        <w:rPr>
          <w:rFonts w:ascii="Calibri" w:hAnsi="Calibri"/>
          <w:szCs w:val="22"/>
        </w:rPr>
        <w:t>3.</w:t>
      </w:r>
      <w:r w:rsidRPr="008C6AF8">
        <w:rPr>
          <w:rFonts w:ascii="Calibri" w:hAnsi="Calibri"/>
          <w:szCs w:val="22"/>
        </w:rPr>
        <w:tab/>
        <w:t>Finances – Compte administratif 2017</w:t>
      </w:r>
    </w:p>
    <w:p w:rsidR="00525BC0" w:rsidRPr="008C6AF8" w:rsidRDefault="00525BC0" w:rsidP="00525BC0">
      <w:pPr>
        <w:jc w:val="left"/>
        <w:rPr>
          <w:rFonts w:ascii="Calibri" w:hAnsi="Calibri"/>
          <w:szCs w:val="22"/>
        </w:rPr>
      </w:pPr>
      <w:r w:rsidRPr="008C6AF8">
        <w:rPr>
          <w:rFonts w:ascii="Calibri" w:hAnsi="Calibri"/>
          <w:szCs w:val="22"/>
        </w:rPr>
        <w:t>4.</w:t>
      </w:r>
      <w:r w:rsidRPr="008C6AF8">
        <w:rPr>
          <w:rFonts w:ascii="Calibri" w:hAnsi="Calibri"/>
          <w:szCs w:val="22"/>
        </w:rPr>
        <w:tab/>
        <w:t>Finances – Compte de gestion 2017</w:t>
      </w:r>
    </w:p>
    <w:p w:rsidR="00525BC0" w:rsidRPr="008C6AF8" w:rsidRDefault="00525BC0" w:rsidP="00525BC0">
      <w:pPr>
        <w:jc w:val="left"/>
        <w:rPr>
          <w:rFonts w:ascii="Calibri" w:hAnsi="Calibri"/>
          <w:szCs w:val="22"/>
        </w:rPr>
      </w:pPr>
      <w:r w:rsidRPr="008C6AF8">
        <w:rPr>
          <w:rFonts w:ascii="Calibri" w:hAnsi="Calibri"/>
          <w:szCs w:val="22"/>
        </w:rPr>
        <w:t>5.</w:t>
      </w:r>
      <w:r w:rsidRPr="008C6AF8">
        <w:rPr>
          <w:rFonts w:ascii="Calibri" w:hAnsi="Calibri"/>
          <w:szCs w:val="22"/>
        </w:rPr>
        <w:tab/>
        <w:t>Finances – Affectation du résultat 2017</w:t>
      </w:r>
    </w:p>
    <w:p w:rsidR="00525BC0" w:rsidRPr="008C6AF8" w:rsidRDefault="00525BC0" w:rsidP="00525BC0">
      <w:pPr>
        <w:jc w:val="left"/>
        <w:rPr>
          <w:rFonts w:ascii="Calibri" w:hAnsi="Calibri"/>
          <w:szCs w:val="22"/>
        </w:rPr>
      </w:pPr>
      <w:r w:rsidRPr="008C6AF8">
        <w:rPr>
          <w:rFonts w:ascii="Calibri" w:hAnsi="Calibri"/>
          <w:szCs w:val="22"/>
        </w:rPr>
        <w:t>6.</w:t>
      </w:r>
      <w:r w:rsidRPr="008C6AF8">
        <w:rPr>
          <w:rFonts w:ascii="Calibri" w:hAnsi="Calibri"/>
          <w:szCs w:val="22"/>
        </w:rPr>
        <w:tab/>
        <w:t>Finances – Budget primitif 2018</w:t>
      </w:r>
      <w:r w:rsidRPr="008C6AF8">
        <w:rPr>
          <w:rFonts w:ascii="Calibri" w:hAnsi="Calibri"/>
          <w:szCs w:val="22"/>
        </w:rPr>
        <w:tab/>
      </w:r>
    </w:p>
    <w:p w:rsidR="00525BC0" w:rsidRPr="008C6AF8" w:rsidRDefault="00525BC0" w:rsidP="00525BC0">
      <w:pPr>
        <w:jc w:val="left"/>
        <w:rPr>
          <w:rFonts w:ascii="Calibri" w:hAnsi="Calibri"/>
          <w:szCs w:val="22"/>
        </w:rPr>
      </w:pPr>
      <w:r w:rsidRPr="008C6AF8">
        <w:rPr>
          <w:rFonts w:ascii="Calibri" w:hAnsi="Calibri"/>
          <w:szCs w:val="22"/>
        </w:rPr>
        <w:t>7.</w:t>
      </w:r>
      <w:r w:rsidRPr="008C6AF8">
        <w:rPr>
          <w:rFonts w:ascii="Calibri" w:hAnsi="Calibri"/>
          <w:szCs w:val="22"/>
        </w:rPr>
        <w:tab/>
        <w:t>Ressources humaines – Création d’emplois</w:t>
      </w:r>
    </w:p>
    <w:p w:rsidR="00525BC0" w:rsidRPr="008C6AF8" w:rsidRDefault="00525BC0" w:rsidP="00525BC0">
      <w:pPr>
        <w:jc w:val="left"/>
        <w:rPr>
          <w:rFonts w:ascii="Calibri" w:hAnsi="Calibri"/>
          <w:szCs w:val="22"/>
        </w:rPr>
      </w:pPr>
      <w:r w:rsidRPr="008C6AF8">
        <w:rPr>
          <w:rFonts w:ascii="Calibri" w:hAnsi="Calibri"/>
          <w:szCs w:val="22"/>
        </w:rPr>
        <w:t>8.</w:t>
      </w:r>
      <w:r w:rsidRPr="008C6AF8">
        <w:rPr>
          <w:rFonts w:ascii="Calibri" w:hAnsi="Calibri"/>
          <w:szCs w:val="22"/>
        </w:rPr>
        <w:tab/>
        <w:t>Finances – Décision modificative n°1/2018</w:t>
      </w:r>
    </w:p>
    <w:p w:rsidR="00525BC0" w:rsidRPr="008C6AF8" w:rsidRDefault="00525BC0" w:rsidP="00525BC0">
      <w:pPr>
        <w:ind w:left="709" w:hanging="709"/>
        <w:jc w:val="left"/>
        <w:rPr>
          <w:rFonts w:ascii="Calibri" w:hAnsi="Calibri"/>
          <w:szCs w:val="22"/>
        </w:rPr>
      </w:pPr>
      <w:r w:rsidRPr="008C6AF8">
        <w:rPr>
          <w:rFonts w:ascii="Calibri" w:hAnsi="Calibri"/>
          <w:szCs w:val="22"/>
        </w:rPr>
        <w:t>9.</w:t>
      </w:r>
      <w:r w:rsidRPr="008C6AF8">
        <w:rPr>
          <w:rFonts w:ascii="Calibri" w:hAnsi="Calibri"/>
          <w:szCs w:val="22"/>
        </w:rPr>
        <w:tab/>
        <w:t>Finances – Guide des aides 2018 – Dispositions relatives à la convention de gestion de l’éclairage pour 9 communes de la Métropole rennaise</w:t>
      </w:r>
    </w:p>
    <w:p w:rsidR="00525BC0" w:rsidRPr="008C6AF8" w:rsidRDefault="00525BC0" w:rsidP="00525BC0">
      <w:pPr>
        <w:jc w:val="left"/>
        <w:rPr>
          <w:rFonts w:ascii="Calibri" w:hAnsi="Calibri"/>
          <w:szCs w:val="22"/>
        </w:rPr>
      </w:pPr>
      <w:r w:rsidRPr="008C6AF8">
        <w:rPr>
          <w:rFonts w:ascii="Calibri" w:hAnsi="Calibri"/>
          <w:szCs w:val="22"/>
        </w:rPr>
        <w:t>10.</w:t>
      </w:r>
      <w:r w:rsidRPr="008C6AF8">
        <w:rPr>
          <w:rFonts w:ascii="Calibri" w:hAnsi="Calibri"/>
          <w:szCs w:val="22"/>
        </w:rPr>
        <w:tab/>
        <w:t>Finances – Subvention au Fond de Solidarité Logement pour l’année 2018</w:t>
      </w:r>
    </w:p>
    <w:p w:rsidR="00525BC0" w:rsidRPr="008C6AF8" w:rsidRDefault="00525BC0" w:rsidP="00525BC0">
      <w:pPr>
        <w:jc w:val="left"/>
        <w:rPr>
          <w:rFonts w:ascii="Calibri" w:hAnsi="Calibri"/>
          <w:szCs w:val="22"/>
        </w:rPr>
      </w:pPr>
      <w:r w:rsidRPr="008C6AF8">
        <w:rPr>
          <w:rFonts w:ascii="Calibri" w:hAnsi="Calibri"/>
          <w:szCs w:val="22"/>
        </w:rPr>
        <w:t>11.</w:t>
      </w:r>
      <w:r w:rsidRPr="008C6AF8">
        <w:rPr>
          <w:rFonts w:ascii="Calibri" w:hAnsi="Calibri"/>
          <w:szCs w:val="22"/>
        </w:rPr>
        <w:tab/>
        <w:t>Contrôle concession – Restitution du contrôle mutualisé à l’échelle du PEBreizh</w:t>
      </w:r>
      <w:r w:rsidRPr="008C6AF8">
        <w:rPr>
          <w:rFonts w:ascii="Calibri" w:hAnsi="Calibri"/>
          <w:szCs w:val="22"/>
        </w:rPr>
        <w:tab/>
      </w:r>
    </w:p>
    <w:p w:rsidR="00525BC0" w:rsidRPr="008C6AF8" w:rsidRDefault="00525BC0" w:rsidP="00525BC0">
      <w:pPr>
        <w:ind w:left="709" w:hanging="709"/>
        <w:jc w:val="left"/>
        <w:rPr>
          <w:rFonts w:ascii="Calibri" w:hAnsi="Calibri"/>
          <w:szCs w:val="22"/>
        </w:rPr>
      </w:pPr>
      <w:r w:rsidRPr="008C6AF8">
        <w:rPr>
          <w:rFonts w:ascii="Calibri" w:hAnsi="Calibri"/>
          <w:szCs w:val="22"/>
        </w:rPr>
        <w:t>12.</w:t>
      </w:r>
      <w:r w:rsidRPr="008C6AF8">
        <w:rPr>
          <w:rFonts w:ascii="Calibri" w:hAnsi="Calibri"/>
          <w:szCs w:val="22"/>
        </w:rPr>
        <w:tab/>
        <w:t>IRVE – Transfert de la compétence par Rennes Métropole et lancement d’un schéma directeur pour la mobilité décarbornée dans le cadre du « Territoire d’Innovation de Grande Ambition »</w:t>
      </w:r>
    </w:p>
    <w:p w:rsidR="00525BC0" w:rsidRPr="008C6AF8" w:rsidRDefault="00525BC0" w:rsidP="00525BC0">
      <w:pPr>
        <w:jc w:val="left"/>
        <w:rPr>
          <w:rFonts w:ascii="Calibri" w:hAnsi="Calibri"/>
          <w:szCs w:val="22"/>
        </w:rPr>
      </w:pPr>
      <w:r w:rsidRPr="008C6AF8">
        <w:rPr>
          <w:rFonts w:ascii="Calibri" w:hAnsi="Calibri"/>
          <w:szCs w:val="22"/>
        </w:rPr>
        <w:t>13.</w:t>
      </w:r>
      <w:r w:rsidRPr="008C6AF8">
        <w:rPr>
          <w:rFonts w:ascii="Calibri" w:hAnsi="Calibri"/>
          <w:szCs w:val="22"/>
        </w:rPr>
        <w:tab/>
        <w:t>IRVE – Exploitation – Groupement de commandes avec les SDE 22 et 29</w:t>
      </w:r>
    </w:p>
    <w:p w:rsidR="00525BC0" w:rsidRPr="008C6AF8" w:rsidRDefault="00525BC0" w:rsidP="00525BC0">
      <w:pPr>
        <w:jc w:val="left"/>
        <w:rPr>
          <w:rFonts w:ascii="Calibri" w:hAnsi="Calibri"/>
          <w:szCs w:val="22"/>
        </w:rPr>
      </w:pPr>
      <w:r w:rsidRPr="008C6AF8">
        <w:rPr>
          <w:rFonts w:ascii="Calibri" w:hAnsi="Calibri"/>
          <w:szCs w:val="22"/>
        </w:rPr>
        <w:t>14.</w:t>
      </w:r>
      <w:r w:rsidRPr="008C6AF8">
        <w:rPr>
          <w:rFonts w:ascii="Calibri" w:hAnsi="Calibri"/>
          <w:szCs w:val="22"/>
        </w:rPr>
        <w:tab/>
        <w:t>Mobilité électrique – Adhésion à AVERE Ouest</w:t>
      </w:r>
    </w:p>
    <w:p w:rsidR="00525BC0" w:rsidRPr="008C6AF8" w:rsidRDefault="00525BC0" w:rsidP="00525BC0">
      <w:pPr>
        <w:jc w:val="left"/>
        <w:rPr>
          <w:rFonts w:ascii="Calibri" w:hAnsi="Calibri"/>
          <w:szCs w:val="22"/>
        </w:rPr>
      </w:pPr>
      <w:r w:rsidRPr="008C6AF8">
        <w:rPr>
          <w:rFonts w:ascii="Calibri" w:hAnsi="Calibri"/>
          <w:szCs w:val="22"/>
        </w:rPr>
        <w:t>15.</w:t>
      </w:r>
      <w:r w:rsidRPr="008C6AF8">
        <w:rPr>
          <w:rFonts w:ascii="Calibri" w:hAnsi="Calibri"/>
          <w:szCs w:val="22"/>
        </w:rPr>
        <w:tab/>
        <w:t>Energie – Convention de partenariat avec l’ALEC du Pays de Rennes</w:t>
      </w:r>
    </w:p>
    <w:p w:rsidR="00525BC0" w:rsidRPr="008C6AF8" w:rsidRDefault="00525BC0" w:rsidP="00525BC0">
      <w:pPr>
        <w:jc w:val="left"/>
        <w:rPr>
          <w:rFonts w:ascii="Calibri" w:hAnsi="Calibri"/>
          <w:szCs w:val="22"/>
        </w:rPr>
      </w:pPr>
      <w:r w:rsidRPr="008C6AF8">
        <w:rPr>
          <w:rFonts w:ascii="Calibri" w:hAnsi="Calibri"/>
          <w:szCs w:val="22"/>
        </w:rPr>
        <w:t>16.</w:t>
      </w:r>
      <w:r w:rsidRPr="008C6AF8">
        <w:rPr>
          <w:rFonts w:ascii="Calibri" w:hAnsi="Calibri"/>
          <w:szCs w:val="22"/>
        </w:rPr>
        <w:tab/>
        <w:t>Commande publique – Accord-cadre de prestations de communication</w:t>
      </w:r>
    </w:p>
    <w:p w:rsidR="00525BC0" w:rsidRPr="008C6AF8" w:rsidRDefault="00525BC0" w:rsidP="00525BC0">
      <w:pPr>
        <w:jc w:val="left"/>
        <w:rPr>
          <w:rFonts w:ascii="Calibri" w:hAnsi="Calibri"/>
          <w:szCs w:val="22"/>
        </w:rPr>
      </w:pPr>
      <w:r w:rsidRPr="008C6AF8">
        <w:rPr>
          <w:rFonts w:ascii="Calibri" w:hAnsi="Calibri"/>
          <w:szCs w:val="22"/>
        </w:rPr>
        <w:t>17.</w:t>
      </w:r>
      <w:r w:rsidRPr="008C6AF8">
        <w:rPr>
          <w:rFonts w:ascii="Calibri" w:hAnsi="Calibri"/>
          <w:szCs w:val="22"/>
        </w:rPr>
        <w:tab/>
        <w:t>Commande publique – Accord-cadre de prestations d’impression</w:t>
      </w:r>
    </w:p>
    <w:p w:rsidR="00525BC0" w:rsidRPr="008C6AF8" w:rsidRDefault="00525BC0" w:rsidP="00525BC0">
      <w:pPr>
        <w:ind w:left="709" w:hanging="709"/>
        <w:jc w:val="left"/>
        <w:rPr>
          <w:rFonts w:ascii="Calibri" w:hAnsi="Calibri"/>
          <w:szCs w:val="22"/>
        </w:rPr>
      </w:pPr>
      <w:r w:rsidRPr="008C6AF8">
        <w:rPr>
          <w:rFonts w:ascii="Calibri" w:hAnsi="Calibri"/>
          <w:szCs w:val="22"/>
        </w:rPr>
        <w:t>18.</w:t>
      </w:r>
      <w:r w:rsidRPr="008C6AF8">
        <w:rPr>
          <w:rFonts w:ascii="Calibri" w:hAnsi="Calibri"/>
          <w:szCs w:val="22"/>
        </w:rPr>
        <w:tab/>
        <w:t>Commande publique – Groupement de commandes avec le CDG35 et le CNFPT pour l’entretien des locaux</w:t>
      </w:r>
    </w:p>
    <w:p w:rsidR="00525BC0" w:rsidRPr="008C6AF8" w:rsidRDefault="00525BC0" w:rsidP="00525BC0">
      <w:pPr>
        <w:jc w:val="left"/>
        <w:rPr>
          <w:rFonts w:ascii="Calibri" w:hAnsi="Calibri"/>
          <w:szCs w:val="22"/>
        </w:rPr>
      </w:pPr>
      <w:r w:rsidRPr="008C6AF8">
        <w:rPr>
          <w:rFonts w:ascii="Calibri" w:hAnsi="Calibri"/>
          <w:szCs w:val="22"/>
        </w:rPr>
        <w:t>19.</w:t>
      </w:r>
      <w:r w:rsidRPr="008C6AF8">
        <w:rPr>
          <w:rFonts w:ascii="Calibri" w:hAnsi="Calibri"/>
          <w:szCs w:val="22"/>
        </w:rPr>
        <w:tab/>
        <w:t>Information des attributions exercées par le bureau par délégation du comité</w:t>
      </w:r>
    </w:p>
    <w:p w:rsidR="00525BC0" w:rsidRPr="008C6AF8" w:rsidRDefault="00525BC0" w:rsidP="00525BC0">
      <w:pPr>
        <w:jc w:val="left"/>
        <w:rPr>
          <w:rFonts w:ascii="Calibri" w:hAnsi="Calibri"/>
          <w:szCs w:val="22"/>
        </w:rPr>
      </w:pPr>
      <w:r w:rsidRPr="008C6AF8">
        <w:rPr>
          <w:rFonts w:ascii="Calibri" w:hAnsi="Calibri"/>
          <w:szCs w:val="22"/>
        </w:rPr>
        <w:t>20.</w:t>
      </w:r>
      <w:r w:rsidRPr="008C6AF8">
        <w:rPr>
          <w:rFonts w:ascii="Calibri" w:hAnsi="Calibri"/>
          <w:szCs w:val="22"/>
        </w:rPr>
        <w:tab/>
        <w:t>Information des attributions exercées par le président par délégation du comité</w:t>
      </w:r>
    </w:p>
    <w:p w:rsidR="00525BC0" w:rsidRDefault="00525BC0" w:rsidP="00525BC0">
      <w:pPr>
        <w:jc w:val="left"/>
        <w:rPr>
          <w:rFonts w:ascii="Calibri" w:hAnsi="Calibri"/>
          <w:szCs w:val="22"/>
        </w:rPr>
      </w:pPr>
      <w:r w:rsidRPr="008C6AF8">
        <w:rPr>
          <w:rFonts w:ascii="Calibri" w:hAnsi="Calibri"/>
          <w:szCs w:val="22"/>
        </w:rPr>
        <w:t>21.</w:t>
      </w:r>
      <w:r w:rsidRPr="008C6AF8">
        <w:rPr>
          <w:rFonts w:ascii="Calibri" w:hAnsi="Calibri"/>
          <w:szCs w:val="22"/>
        </w:rPr>
        <w:tab/>
        <w:t>Questions diverses</w:t>
      </w:r>
    </w:p>
    <w:p w:rsidR="008C6AF8" w:rsidRDefault="008C6AF8" w:rsidP="008C6AF8">
      <w:pPr>
        <w:jc w:val="left"/>
        <w:rPr>
          <w:rFonts w:ascii="Calibri" w:hAnsi="Calibri"/>
          <w:szCs w:val="22"/>
        </w:rPr>
      </w:pPr>
    </w:p>
    <w:p w:rsidR="004F3506" w:rsidRDefault="004F3506" w:rsidP="006E1D5C">
      <w:pPr>
        <w:pStyle w:val="Sansinterligne"/>
      </w:pPr>
      <w:r w:rsidRPr="0064793D">
        <w:t xml:space="preserve">Après </w:t>
      </w:r>
      <w:r w:rsidR="00264929">
        <w:t>en avoir pris connaissance, le c</w:t>
      </w:r>
      <w:r w:rsidRPr="0064793D">
        <w:t>omité syndical approuve</w:t>
      </w:r>
      <w:r>
        <w:t>,</w:t>
      </w:r>
      <w:r w:rsidRPr="0064793D">
        <w:t xml:space="preserve"> à </w:t>
      </w:r>
      <w:r w:rsidR="009F5DA7">
        <w:t>l</w:t>
      </w:r>
      <w:r w:rsidR="00264929">
        <w:t>’unanimité</w:t>
      </w:r>
      <w:r w:rsidRPr="0064793D">
        <w:t xml:space="preserve">, le </w:t>
      </w:r>
      <w:r w:rsidR="009F5DA7">
        <w:t>procès-verbal de la réunion du c</w:t>
      </w:r>
      <w:r w:rsidRPr="0064793D">
        <w:t xml:space="preserve">omité syndical du </w:t>
      </w:r>
      <w:r w:rsidR="00525BC0">
        <w:t>27 février</w:t>
      </w:r>
      <w:r w:rsidR="008C6AF8">
        <w:t xml:space="preserve"> 2018</w:t>
      </w:r>
    </w:p>
    <w:p w:rsidR="004F3506" w:rsidRDefault="004F3506" w:rsidP="005C3D66">
      <w:pPr>
        <w:pStyle w:val="Sansinterligne"/>
        <w:ind w:left="1134" w:hanging="283"/>
        <w:rPr>
          <w:rFonts w:ascii="Calibri" w:hAnsi="Calibri"/>
          <w:szCs w:val="22"/>
        </w:rPr>
      </w:pPr>
    </w:p>
    <w:p w:rsidR="00DF7E34" w:rsidRPr="00DF7E34" w:rsidRDefault="00525BC0"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525BC0">
        <w:rPr>
          <w:rFonts w:ascii="Venacti Sb" w:hAnsi="Venacti Sb"/>
          <w:color w:val="FFFFFF"/>
          <w:sz w:val="24"/>
        </w:rPr>
        <w:t>Finances – Décision modificative n° 2/2018</w:t>
      </w:r>
    </w:p>
    <w:p w:rsidR="00DF7E34" w:rsidRPr="00A055C0" w:rsidRDefault="00DF7E34" w:rsidP="00DF7E34">
      <w:pPr>
        <w:rPr>
          <w:sz w:val="16"/>
          <w:szCs w:val="16"/>
        </w:rPr>
      </w:pPr>
    </w:p>
    <w:p w:rsidR="00BE2907" w:rsidRPr="00B2558D" w:rsidRDefault="00BE2907" w:rsidP="00BE2907">
      <w:pPr>
        <w:pStyle w:val="Paragraphedeliste"/>
        <w:ind w:left="0"/>
        <w:rPr>
          <w:rFonts w:cs="Calibri"/>
          <w:szCs w:val="22"/>
        </w:rPr>
      </w:pPr>
      <w:r w:rsidRPr="00D114DA">
        <w:t xml:space="preserve">Le </w:t>
      </w:r>
      <w:r>
        <w:t>président présente au comité la</w:t>
      </w:r>
      <w:r w:rsidRPr="00D114DA">
        <w:t xml:space="preserve"> décision modificative </w:t>
      </w:r>
      <w:r>
        <w:t xml:space="preserve">n°2 au budget 2018 </w:t>
      </w:r>
      <w:r w:rsidRPr="00D114DA">
        <w:t>qui porte sur</w:t>
      </w:r>
      <w:r>
        <w:t xml:space="preserve"> l</w:t>
      </w:r>
      <w:r w:rsidRPr="00B2558D">
        <w:rPr>
          <w:rFonts w:cs="Calibri"/>
          <w:szCs w:val="22"/>
        </w:rPr>
        <w:t xml:space="preserve">’inscription de nouvelles opérations sous mandat à réaliser pour le compte des communes sous la maîtrise d’ouvrage </w:t>
      </w:r>
      <w:r>
        <w:rPr>
          <w:rFonts w:cs="Calibri"/>
          <w:szCs w:val="22"/>
        </w:rPr>
        <w:t xml:space="preserve">déléguée </w:t>
      </w:r>
      <w:r w:rsidRPr="00B2558D">
        <w:rPr>
          <w:rFonts w:cs="Calibri"/>
          <w:szCs w:val="22"/>
        </w:rPr>
        <w:t>du SDE35.</w:t>
      </w:r>
    </w:p>
    <w:p w:rsidR="00BE2907" w:rsidRPr="00B2558D" w:rsidRDefault="00BE2907" w:rsidP="00BE2907">
      <w:pPr>
        <w:pStyle w:val="Paragraphedeliste"/>
        <w:ind w:left="0"/>
        <w:rPr>
          <w:szCs w:val="22"/>
        </w:rPr>
      </w:pPr>
    </w:p>
    <w:p w:rsidR="00BE2907" w:rsidRDefault="00BE2907" w:rsidP="00BE2907">
      <w:pPr>
        <w:pStyle w:val="Puceorange"/>
        <w:numPr>
          <w:ilvl w:val="0"/>
          <w:numId w:val="0"/>
        </w:numPr>
        <w:spacing w:line="240" w:lineRule="auto"/>
        <w:rPr>
          <w:rFonts w:ascii="Calibri" w:hAnsi="Calibri" w:cs="Calibri"/>
          <w:color w:val="auto"/>
          <w:szCs w:val="22"/>
          <w:lang w:val="fr-FR"/>
        </w:rPr>
      </w:pPr>
      <w:r w:rsidRPr="005E1233">
        <w:rPr>
          <w:rFonts w:ascii="Calibri" w:hAnsi="Calibri" w:cs="Calibri"/>
          <w:color w:val="auto"/>
          <w:szCs w:val="22"/>
          <w:lang w:val="fr-FR"/>
        </w:rPr>
        <w:t>Après délibération, le comité syndical, à l’unanimité, approuve la décision modificative n°</w:t>
      </w:r>
      <w:r>
        <w:rPr>
          <w:rFonts w:ascii="Calibri" w:hAnsi="Calibri" w:cs="Calibri"/>
          <w:color w:val="auto"/>
          <w:szCs w:val="22"/>
          <w:lang w:val="fr-FR"/>
        </w:rPr>
        <w:t>2 au budget 2018 telle que résumée ci-après</w:t>
      </w:r>
      <w:r w:rsidRPr="005E1233">
        <w:rPr>
          <w:rFonts w:ascii="Calibri" w:hAnsi="Calibri" w:cs="Calibri"/>
          <w:color w:val="auto"/>
          <w:szCs w:val="22"/>
          <w:lang w:val="fr-FR"/>
        </w:rPr>
        <w:t> :</w:t>
      </w:r>
    </w:p>
    <w:p w:rsidR="00460599" w:rsidRDefault="007F01C2">
      <w:pPr>
        <w:spacing w:after="200" w:line="276" w:lineRule="auto"/>
        <w:jc w:val="left"/>
        <w:rPr>
          <w:rFonts w:ascii="Calibri" w:hAnsi="Calibri"/>
          <w:szCs w:val="22"/>
        </w:rPr>
      </w:pPr>
      <w:r>
        <w:rPr>
          <w:rFonts w:ascii="Calibri" w:hAnsi="Calibri"/>
          <w:szCs w:val="22"/>
        </w:rPr>
        <w:br w:type="page"/>
      </w:r>
      <w:r w:rsidR="00460599">
        <w:rPr>
          <w:rFonts w:ascii="Calibri" w:hAnsi="Calibri"/>
          <w:noProof/>
          <w:szCs w:val="22"/>
        </w:rPr>
        <w:lastRenderedPageBreak/>
        <w:drawing>
          <wp:inline distT="0" distB="0" distL="0" distR="0" wp14:anchorId="40323B86" wp14:editId="62224816">
            <wp:extent cx="6210300" cy="878014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2-simpifiee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0300" cy="8780145"/>
                    </a:xfrm>
                    <a:prstGeom prst="rect">
                      <a:avLst/>
                    </a:prstGeom>
                  </pic:spPr>
                </pic:pic>
              </a:graphicData>
            </a:graphic>
          </wp:inline>
        </w:drawing>
      </w:r>
    </w:p>
    <w:p w:rsidR="00460599" w:rsidRDefault="00460599">
      <w:pPr>
        <w:spacing w:after="200" w:line="276" w:lineRule="auto"/>
        <w:jc w:val="left"/>
        <w:rPr>
          <w:rFonts w:ascii="Calibri" w:hAnsi="Calibri"/>
          <w:noProof/>
          <w:szCs w:val="22"/>
        </w:rPr>
      </w:pPr>
      <w:r>
        <w:rPr>
          <w:rFonts w:ascii="Calibri" w:hAnsi="Calibri"/>
          <w:noProof/>
          <w:szCs w:val="22"/>
        </w:rPr>
        <w:br w:type="page"/>
      </w:r>
      <w:r>
        <w:rPr>
          <w:rFonts w:ascii="Calibri" w:hAnsi="Calibri"/>
          <w:noProof/>
          <w:szCs w:val="22"/>
        </w:rPr>
        <w:lastRenderedPageBreak/>
        <w:drawing>
          <wp:inline distT="0" distB="0" distL="0" distR="0" wp14:anchorId="048F9192" wp14:editId="12D042A4">
            <wp:extent cx="6210300" cy="878014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2-simpifiee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300" cy="8780145"/>
                    </a:xfrm>
                    <a:prstGeom prst="rect">
                      <a:avLst/>
                    </a:prstGeom>
                  </pic:spPr>
                </pic:pic>
              </a:graphicData>
            </a:graphic>
          </wp:inline>
        </w:drawing>
      </w:r>
    </w:p>
    <w:p w:rsidR="00460599" w:rsidRDefault="00460599">
      <w:pPr>
        <w:spacing w:after="200" w:line="276" w:lineRule="auto"/>
        <w:jc w:val="left"/>
        <w:rPr>
          <w:rFonts w:ascii="Calibri" w:hAnsi="Calibri"/>
          <w:noProof/>
          <w:szCs w:val="22"/>
        </w:rPr>
      </w:pPr>
      <w:r>
        <w:rPr>
          <w:rFonts w:ascii="Calibri" w:hAnsi="Calibri"/>
          <w:noProof/>
          <w:szCs w:val="22"/>
        </w:rPr>
        <w:br w:type="page"/>
      </w:r>
      <w:r>
        <w:rPr>
          <w:rFonts w:ascii="Calibri" w:hAnsi="Calibri"/>
          <w:noProof/>
          <w:szCs w:val="22"/>
        </w:rPr>
        <w:lastRenderedPageBreak/>
        <w:drawing>
          <wp:inline distT="0" distB="0" distL="0" distR="0">
            <wp:extent cx="6210300" cy="8780145"/>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2-simpifiee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300" cy="8780145"/>
                    </a:xfrm>
                    <a:prstGeom prst="rect">
                      <a:avLst/>
                    </a:prstGeom>
                  </pic:spPr>
                </pic:pic>
              </a:graphicData>
            </a:graphic>
          </wp:inline>
        </w:drawing>
      </w:r>
    </w:p>
    <w:p w:rsidR="001D2B9D" w:rsidRPr="00FB27C6" w:rsidRDefault="00C16746"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C16746">
        <w:rPr>
          <w:rFonts w:ascii="Venacti Sb" w:hAnsi="Venacti Sb"/>
          <w:color w:val="FFFFFF"/>
          <w:sz w:val="24"/>
        </w:rPr>
        <w:lastRenderedPageBreak/>
        <w:t>Finances – Demandes de dérogations au guide des aides 2018</w:t>
      </w:r>
    </w:p>
    <w:p w:rsidR="00DF7E34" w:rsidRPr="008A4FF7" w:rsidRDefault="00DF7E34" w:rsidP="00DF7E34">
      <w:pPr>
        <w:rPr>
          <w:rFonts w:ascii="Calibri" w:hAnsi="Calibri"/>
          <w:szCs w:val="22"/>
        </w:rPr>
      </w:pPr>
    </w:p>
    <w:p w:rsidR="001E5FB8" w:rsidRDefault="001E5FB8" w:rsidP="001E5FB8">
      <w:pPr>
        <w:rPr>
          <w:szCs w:val="22"/>
        </w:rPr>
      </w:pPr>
      <w:r>
        <w:rPr>
          <w:szCs w:val="22"/>
        </w:rPr>
        <w:t xml:space="preserve">Le comité est informé que </w:t>
      </w:r>
      <w:r w:rsidR="000F648E">
        <w:rPr>
          <w:szCs w:val="22"/>
        </w:rPr>
        <w:t>quatre</w:t>
      </w:r>
      <w:r>
        <w:rPr>
          <w:szCs w:val="22"/>
        </w:rPr>
        <w:t xml:space="preserve"> communes ont demandé à bénéficier de dérogations quant à l’application du guide des aides 2018 estimant que les projets concernés avaient fait l’objet d’une demande de financement avant l’application du nouveau guide des aides 2018 et qu’elle s’en trouvent pénalisées.</w:t>
      </w:r>
    </w:p>
    <w:p w:rsidR="001E5FB8" w:rsidRDefault="001E5FB8" w:rsidP="001E5FB8">
      <w:pPr>
        <w:rPr>
          <w:szCs w:val="22"/>
        </w:rPr>
      </w:pPr>
      <w:r>
        <w:rPr>
          <w:szCs w:val="22"/>
        </w:rPr>
        <w:t>Il s’agit des affaires suivantes pour lesquelles chacune d’elles est étudiée individuellement :</w:t>
      </w:r>
    </w:p>
    <w:p w:rsidR="00704FEB" w:rsidRPr="00704FEB" w:rsidRDefault="001E5FB8" w:rsidP="00704FEB">
      <w:pPr>
        <w:pStyle w:val="Corpsdetexte"/>
        <w:tabs>
          <w:tab w:val="left" w:pos="8080"/>
          <w:tab w:val="left" w:pos="8647"/>
          <w:tab w:val="left" w:pos="9354"/>
        </w:tabs>
        <w:ind w:right="-2"/>
        <w:rPr>
          <w:rFonts w:asciiTheme="minorHAnsi" w:hAnsiTheme="minorHAnsi" w:cstheme="minorBidi"/>
          <w:b/>
          <w:szCs w:val="22"/>
          <w:lang w:eastAsia="en-US"/>
        </w:rPr>
      </w:pPr>
      <w:r>
        <w:rPr>
          <w:rFonts w:ascii="Comic Sans MS" w:hAnsi="Comic Sans MS"/>
          <w:b/>
          <w:sz w:val="16"/>
          <w:szCs w:val="20"/>
          <w:lang w:val="x-none"/>
        </w:rPr>
        <w:fldChar w:fldCharType="begin"/>
      </w:r>
      <w:r>
        <w:instrText xml:space="preserve"> LINK </w:instrText>
      </w:r>
      <w:r w:rsidR="00D85372">
        <w:instrText xml:space="preserve">Excel.Sheet.8 "\\\\SRV-DATA\\commun\\Serveur\\EnCours\\Administration et Finances\\1. SYNDICAT\\REUNIONS\\COMITE\\2018\\20180410\\3-Doc\\Dossiers dérogatoires.xls" Feuil1!L3C1:L10C12 </w:instrText>
      </w:r>
      <w:r>
        <w:instrText xml:space="preserve">\a \f 4 \h  \* MERGEFORMAT </w:instrText>
      </w:r>
      <w:r>
        <w:rPr>
          <w:rFonts w:ascii="Comic Sans MS" w:hAnsi="Comic Sans MS"/>
          <w:b/>
          <w:sz w:val="16"/>
          <w:szCs w:val="20"/>
          <w:lang w:val="x-none"/>
        </w:rPr>
        <w:fldChar w:fldCharType="separate"/>
      </w:r>
    </w:p>
    <w:tbl>
      <w:tblPr>
        <w:tblW w:w="9498" w:type="dxa"/>
        <w:tblInd w:w="70" w:type="dxa"/>
        <w:tblCellMar>
          <w:left w:w="70" w:type="dxa"/>
          <w:right w:w="70" w:type="dxa"/>
        </w:tblCellMar>
        <w:tblLook w:val="04A0" w:firstRow="1" w:lastRow="0" w:firstColumn="1" w:lastColumn="0" w:noHBand="0" w:noVBand="1"/>
      </w:tblPr>
      <w:tblGrid>
        <w:gridCol w:w="1058"/>
        <w:gridCol w:w="1247"/>
        <w:gridCol w:w="1140"/>
        <w:gridCol w:w="1140"/>
        <w:gridCol w:w="1140"/>
        <w:gridCol w:w="1267"/>
        <w:gridCol w:w="1265"/>
        <w:gridCol w:w="1241"/>
      </w:tblGrid>
      <w:tr w:rsidR="00704FEB" w:rsidRPr="00704FEB" w:rsidTr="00704FEB">
        <w:trPr>
          <w:divId w:val="1330713064"/>
          <w:trHeight w:val="1095"/>
        </w:trPr>
        <w:tc>
          <w:tcPr>
            <w:tcW w:w="105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04FEB" w:rsidRPr="00704FEB" w:rsidRDefault="00704FEB" w:rsidP="00704FEB">
            <w:pPr>
              <w:jc w:val="center"/>
              <w:rPr>
                <w:rFonts w:cs="Arial"/>
                <w:b/>
                <w:bCs/>
                <w:sz w:val="20"/>
                <w:szCs w:val="20"/>
              </w:rPr>
            </w:pPr>
            <w:r w:rsidRPr="00704FEB">
              <w:rPr>
                <w:rFonts w:cs="Arial"/>
                <w:b/>
                <w:bCs/>
                <w:sz w:val="20"/>
                <w:szCs w:val="20"/>
              </w:rPr>
              <w:t>Commune</w:t>
            </w:r>
          </w:p>
        </w:tc>
        <w:tc>
          <w:tcPr>
            <w:tcW w:w="1247" w:type="dxa"/>
            <w:tcBorders>
              <w:top w:val="single" w:sz="4" w:space="0" w:color="auto"/>
              <w:left w:val="nil"/>
              <w:bottom w:val="single" w:sz="4" w:space="0" w:color="auto"/>
              <w:right w:val="single" w:sz="4" w:space="0" w:color="auto"/>
            </w:tcBorders>
            <w:shd w:val="clear" w:color="000000" w:fill="D9D9D9"/>
            <w:vAlign w:val="center"/>
            <w:hideMark/>
          </w:tcPr>
          <w:p w:rsidR="00704FEB" w:rsidRPr="00704FEB" w:rsidRDefault="00704FEB" w:rsidP="00704FEB">
            <w:pPr>
              <w:jc w:val="center"/>
              <w:rPr>
                <w:rFonts w:cs="Arial"/>
                <w:b/>
                <w:bCs/>
                <w:sz w:val="20"/>
                <w:szCs w:val="20"/>
              </w:rPr>
            </w:pPr>
            <w:r w:rsidRPr="00704FEB">
              <w:rPr>
                <w:rFonts w:cs="Arial"/>
                <w:b/>
                <w:bCs/>
                <w:sz w:val="20"/>
                <w:szCs w:val="20"/>
              </w:rPr>
              <w:t>Intitulé de l'affaire</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704FEB" w:rsidRPr="00704FEB" w:rsidRDefault="00704FEB" w:rsidP="00704FEB">
            <w:pPr>
              <w:jc w:val="center"/>
              <w:rPr>
                <w:rFonts w:cs="Arial"/>
                <w:b/>
                <w:bCs/>
                <w:sz w:val="20"/>
                <w:szCs w:val="20"/>
              </w:rPr>
            </w:pPr>
            <w:r w:rsidRPr="00704FEB">
              <w:rPr>
                <w:rFonts w:cs="Arial"/>
                <w:b/>
                <w:bCs/>
                <w:sz w:val="20"/>
                <w:szCs w:val="20"/>
              </w:rPr>
              <w:t>Date demande étude ou de remise à jour dossier</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704FEB" w:rsidRPr="00704FEB" w:rsidRDefault="00704FEB" w:rsidP="00704FEB">
            <w:pPr>
              <w:jc w:val="center"/>
              <w:rPr>
                <w:rFonts w:cs="Arial"/>
                <w:b/>
                <w:bCs/>
                <w:sz w:val="20"/>
                <w:szCs w:val="20"/>
              </w:rPr>
            </w:pPr>
            <w:r w:rsidRPr="00704FEB">
              <w:rPr>
                <w:rFonts w:cs="Arial"/>
                <w:b/>
                <w:bCs/>
                <w:sz w:val="20"/>
                <w:szCs w:val="20"/>
              </w:rPr>
              <w:t>Date OS étude</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704FEB" w:rsidRPr="00704FEB" w:rsidRDefault="00704FEB" w:rsidP="00704FEB">
            <w:pPr>
              <w:jc w:val="center"/>
              <w:rPr>
                <w:rFonts w:ascii="Calibri" w:eastAsia="Times New Roman" w:hAnsi="Calibri" w:cs="Arial"/>
                <w:b/>
                <w:bCs/>
                <w:sz w:val="20"/>
                <w:szCs w:val="20"/>
              </w:rPr>
            </w:pPr>
            <w:r w:rsidRPr="00704FEB">
              <w:rPr>
                <w:rFonts w:cs="Arial"/>
                <w:b/>
                <w:bCs/>
                <w:sz w:val="20"/>
                <w:szCs w:val="20"/>
              </w:rPr>
              <w:t xml:space="preserve">Date </w:t>
            </w:r>
            <w:r w:rsidRPr="00704FEB">
              <w:rPr>
                <w:rFonts w:ascii="Calibri" w:eastAsia="Times New Roman" w:hAnsi="Calibri" w:cs="Arial"/>
                <w:b/>
                <w:bCs/>
                <w:sz w:val="20"/>
                <w:szCs w:val="20"/>
              </w:rPr>
              <w:t>d'envoi étude à la commune</w:t>
            </w:r>
          </w:p>
        </w:tc>
        <w:tc>
          <w:tcPr>
            <w:tcW w:w="1267" w:type="dxa"/>
            <w:tcBorders>
              <w:top w:val="single" w:sz="4" w:space="0" w:color="auto"/>
              <w:left w:val="nil"/>
              <w:bottom w:val="single" w:sz="4" w:space="0" w:color="auto"/>
              <w:right w:val="single" w:sz="4" w:space="0" w:color="auto"/>
            </w:tcBorders>
            <w:shd w:val="clear" w:color="000000" w:fill="D9D9D9"/>
            <w:vAlign w:val="center"/>
            <w:hideMark/>
          </w:tcPr>
          <w:p w:rsidR="00704FEB" w:rsidRPr="00704FEB" w:rsidRDefault="00704FEB" w:rsidP="00704FEB">
            <w:pPr>
              <w:jc w:val="center"/>
              <w:rPr>
                <w:rFonts w:ascii="Calibri" w:eastAsia="Times New Roman" w:hAnsi="Calibri" w:cs="Arial"/>
                <w:b/>
                <w:bCs/>
                <w:sz w:val="20"/>
                <w:szCs w:val="20"/>
              </w:rPr>
            </w:pPr>
            <w:r w:rsidRPr="00704FEB">
              <w:rPr>
                <w:rFonts w:ascii="Calibri" w:eastAsia="Times New Roman" w:hAnsi="Calibri" w:cs="Arial"/>
                <w:b/>
                <w:bCs/>
                <w:sz w:val="20"/>
                <w:szCs w:val="20"/>
              </w:rPr>
              <w:t>Participation de la collectivité guide des aides précédent</w:t>
            </w:r>
            <w:r w:rsidRPr="00704FEB">
              <w:rPr>
                <w:rFonts w:ascii="Calibri" w:eastAsia="Times New Roman" w:hAnsi="Calibri" w:cs="Arial"/>
                <w:b/>
                <w:bCs/>
                <w:sz w:val="20"/>
                <w:szCs w:val="20"/>
              </w:rPr>
              <w:br/>
              <w:t>2017</w:t>
            </w:r>
          </w:p>
        </w:tc>
        <w:tc>
          <w:tcPr>
            <w:tcW w:w="1265" w:type="dxa"/>
            <w:tcBorders>
              <w:top w:val="single" w:sz="4" w:space="0" w:color="auto"/>
              <w:left w:val="nil"/>
              <w:bottom w:val="single" w:sz="4" w:space="0" w:color="auto"/>
              <w:right w:val="single" w:sz="4" w:space="0" w:color="auto"/>
            </w:tcBorders>
            <w:shd w:val="clear" w:color="000000" w:fill="D9D9D9"/>
            <w:vAlign w:val="center"/>
            <w:hideMark/>
          </w:tcPr>
          <w:p w:rsidR="00704FEB" w:rsidRPr="00704FEB" w:rsidRDefault="00704FEB" w:rsidP="00704FEB">
            <w:pPr>
              <w:jc w:val="center"/>
              <w:rPr>
                <w:rFonts w:ascii="Calibri" w:eastAsia="Times New Roman" w:hAnsi="Calibri" w:cs="Arial"/>
                <w:b/>
                <w:bCs/>
                <w:sz w:val="20"/>
                <w:szCs w:val="20"/>
              </w:rPr>
            </w:pPr>
            <w:r w:rsidRPr="00704FEB">
              <w:rPr>
                <w:rFonts w:ascii="Calibri" w:eastAsia="Times New Roman" w:hAnsi="Calibri" w:cs="Arial"/>
                <w:b/>
                <w:bCs/>
                <w:sz w:val="20"/>
                <w:szCs w:val="20"/>
              </w:rPr>
              <w:t>Participation de la collectivité guide des aides actuel</w:t>
            </w:r>
            <w:r w:rsidRPr="00704FEB">
              <w:rPr>
                <w:rFonts w:ascii="Calibri" w:eastAsia="Times New Roman" w:hAnsi="Calibri" w:cs="Arial"/>
                <w:b/>
                <w:bCs/>
                <w:sz w:val="20"/>
                <w:szCs w:val="20"/>
              </w:rPr>
              <w:br/>
              <w:t>2018</w:t>
            </w:r>
          </w:p>
        </w:tc>
        <w:tc>
          <w:tcPr>
            <w:tcW w:w="1241" w:type="dxa"/>
            <w:tcBorders>
              <w:top w:val="single" w:sz="4" w:space="0" w:color="auto"/>
              <w:left w:val="nil"/>
              <w:bottom w:val="single" w:sz="4" w:space="0" w:color="auto"/>
              <w:right w:val="single" w:sz="4" w:space="0" w:color="auto"/>
            </w:tcBorders>
            <w:shd w:val="clear" w:color="000000" w:fill="D9D9D9"/>
            <w:vAlign w:val="center"/>
            <w:hideMark/>
          </w:tcPr>
          <w:p w:rsidR="00704FEB" w:rsidRPr="00704FEB" w:rsidRDefault="00704FEB" w:rsidP="00704FEB">
            <w:pPr>
              <w:jc w:val="center"/>
              <w:rPr>
                <w:rFonts w:ascii="Calibri" w:eastAsia="Times New Roman" w:hAnsi="Calibri" w:cs="Arial"/>
                <w:b/>
                <w:bCs/>
                <w:sz w:val="20"/>
                <w:szCs w:val="20"/>
              </w:rPr>
            </w:pPr>
            <w:r w:rsidRPr="00704FEB">
              <w:rPr>
                <w:rFonts w:ascii="Calibri" w:eastAsia="Times New Roman" w:hAnsi="Calibri" w:cs="Arial"/>
                <w:b/>
                <w:bCs/>
                <w:sz w:val="20"/>
                <w:szCs w:val="20"/>
              </w:rPr>
              <w:t>Observations</w:t>
            </w:r>
          </w:p>
        </w:tc>
      </w:tr>
      <w:tr w:rsidR="00704FEB" w:rsidRPr="00704FEB" w:rsidTr="00704FEB">
        <w:trPr>
          <w:divId w:val="1330713064"/>
          <w:trHeight w:val="567"/>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La Bosse de Bretagne</w:t>
            </w:r>
          </w:p>
        </w:tc>
        <w:tc>
          <w:tcPr>
            <w:tcW w:w="124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Eclairage lotisement Les Perrières (BT 2008)</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cs="Arial"/>
                <w:sz w:val="20"/>
                <w:szCs w:val="20"/>
              </w:rPr>
              <w:t>01/07/2017</w:t>
            </w:r>
            <w:r w:rsidRPr="00704FEB">
              <w:rPr>
                <w:rFonts w:cs="Arial"/>
                <w:sz w:val="20"/>
                <w:szCs w:val="20"/>
              </w:rPr>
              <w:br/>
            </w:r>
            <w:r w:rsidRPr="00704FEB">
              <w:rPr>
                <w:rFonts w:ascii="Calibri" w:eastAsia="Times New Roman" w:hAnsi="Calibri" w:cs="Arial"/>
                <w:sz w:val="20"/>
                <w:szCs w:val="20"/>
              </w:rPr>
              <w:t>mail mairie</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12/03/2018</w:t>
            </w:r>
          </w:p>
        </w:tc>
        <w:tc>
          <w:tcPr>
            <w:tcW w:w="126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25 460,40 €</w:t>
            </w:r>
          </w:p>
        </w:tc>
        <w:tc>
          <w:tcPr>
            <w:tcW w:w="1265"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35 280,00 €</w:t>
            </w:r>
          </w:p>
        </w:tc>
        <w:tc>
          <w:tcPr>
            <w:tcW w:w="1241"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ascii="Calibri" w:eastAsia="Times New Roman" w:hAnsi="Calibri" w:cs="Arial"/>
                <w:sz w:val="20"/>
                <w:szCs w:val="20"/>
              </w:rPr>
            </w:pPr>
            <w:r w:rsidRPr="00704FEB">
              <w:rPr>
                <w:rFonts w:ascii="Calibri" w:eastAsia="Times New Roman" w:hAnsi="Calibri" w:cs="Arial"/>
                <w:sz w:val="20"/>
                <w:szCs w:val="20"/>
              </w:rPr>
              <w:t>33,4% à 0%</w:t>
            </w:r>
          </w:p>
        </w:tc>
      </w:tr>
      <w:tr w:rsidR="00704FEB" w:rsidRPr="00704FEB" w:rsidTr="00704FEB">
        <w:trPr>
          <w:divId w:val="1330713064"/>
          <w:trHeight w:val="567"/>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Baguer Morvan</w:t>
            </w:r>
          </w:p>
        </w:tc>
        <w:tc>
          <w:tcPr>
            <w:tcW w:w="124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Eclairage lotissement La Breche Villy (BT 2015)</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cs="Arial"/>
                <w:sz w:val="20"/>
                <w:szCs w:val="20"/>
              </w:rPr>
              <w:t xml:space="preserve">28/07/2017 </w:t>
            </w:r>
            <w:r w:rsidRPr="00704FEB">
              <w:rPr>
                <w:rFonts w:cs="Arial"/>
                <w:sz w:val="20"/>
                <w:szCs w:val="20"/>
              </w:rPr>
              <w:br/>
            </w:r>
            <w:r w:rsidRPr="00704FEB">
              <w:rPr>
                <w:rFonts w:ascii="Calibri" w:eastAsia="Times New Roman" w:hAnsi="Calibri" w:cs="Arial"/>
                <w:sz w:val="20"/>
                <w:szCs w:val="20"/>
              </w:rPr>
              <w:t>mail maître d'œuvre</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28/03/2018</w:t>
            </w:r>
          </w:p>
        </w:tc>
        <w:tc>
          <w:tcPr>
            <w:tcW w:w="126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27 778,00 €</w:t>
            </w:r>
          </w:p>
        </w:tc>
        <w:tc>
          <w:tcPr>
            <w:tcW w:w="1265"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38 760,00 €</w:t>
            </w:r>
          </w:p>
        </w:tc>
        <w:tc>
          <w:tcPr>
            <w:tcW w:w="1241"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ascii="Calibri" w:eastAsia="Times New Roman" w:hAnsi="Calibri" w:cs="Arial"/>
                <w:sz w:val="20"/>
                <w:szCs w:val="20"/>
              </w:rPr>
            </w:pPr>
            <w:r w:rsidRPr="00704FEB">
              <w:rPr>
                <w:rFonts w:ascii="Calibri" w:eastAsia="Times New Roman" w:hAnsi="Calibri" w:cs="Arial"/>
                <w:sz w:val="20"/>
                <w:szCs w:val="20"/>
              </w:rPr>
              <w:t>34% à 0%</w:t>
            </w:r>
          </w:p>
        </w:tc>
      </w:tr>
      <w:tr w:rsidR="00704FEB" w:rsidRPr="00704FEB" w:rsidTr="00704FEB">
        <w:trPr>
          <w:divId w:val="1330713064"/>
          <w:trHeight w:val="567"/>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Chasné sur Illet</w:t>
            </w:r>
          </w:p>
        </w:tc>
        <w:tc>
          <w:tcPr>
            <w:tcW w:w="124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Eclairage terrain de football</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09/12/2016</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16/02/2017</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20/11/2017</w:t>
            </w:r>
          </w:p>
        </w:tc>
        <w:tc>
          <w:tcPr>
            <w:tcW w:w="126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33 631,20 €</w:t>
            </w:r>
          </w:p>
        </w:tc>
        <w:tc>
          <w:tcPr>
            <w:tcW w:w="1265"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41 520,00 €</w:t>
            </w:r>
          </w:p>
        </w:tc>
        <w:tc>
          <w:tcPr>
            <w:tcW w:w="1241"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ascii="Calibri" w:eastAsia="Times New Roman" w:hAnsi="Calibri" w:cs="Arial"/>
                <w:sz w:val="20"/>
                <w:szCs w:val="20"/>
              </w:rPr>
            </w:pPr>
            <w:r w:rsidRPr="00704FEB">
              <w:rPr>
                <w:rFonts w:ascii="Calibri" w:eastAsia="Times New Roman" w:hAnsi="Calibri" w:cs="Arial"/>
                <w:sz w:val="20"/>
                <w:szCs w:val="20"/>
              </w:rPr>
              <w:t>35,2% à 20%</w:t>
            </w:r>
          </w:p>
        </w:tc>
      </w:tr>
      <w:tr w:rsidR="00704FEB" w:rsidRPr="00704FEB" w:rsidTr="00704FEB">
        <w:trPr>
          <w:divId w:val="1330713064"/>
          <w:trHeight w:val="567"/>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Paimpont</w:t>
            </w:r>
          </w:p>
        </w:tc>
        <w:tc>
          <w:tcPr>
            <w:tcW w:w="124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Eclairage lotissement La Moutte</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oct-17</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 </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21/12/2017</w:t>
            </w:r>
          </w:p>
        </w:tc>
        <w:tc>
          <w:tcPr>
            <w:tcW w:w="126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25 140,20 €</w:t>
            </w:r>
          </w:p>
        </w:tc>
        <w:tc>
          <w:tcPr>
            <w:tcW w:w="1265"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26 960,00 €</w:t>
            </w:r>
          </w:p>
        </w:tc>
        <w:tc>
          <w:tcPr>
            <w:tcW w:w="1241"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ascii="Calibri" w:eastAsia="Times New Roman" w:hAnsi="Calibri" w:cs="Arial"/>
                <w:sz w:val="20"/>
                <w:szCs w:val="20"/>
              </w:rPr>
            </w:pPr>
            <w:r w:rsidRPr="00704FEB">
              <w:rPr>
                <w:rFonts w:ascii="Calibri" w:eastAsia="Times New Roman" w:hAnsi="Calibri" w:cs="Arial"/>
                <w:sz w:val="20"/>
                <w:szCs w:val="20"/>
              </w:rPr>
              <w:t>25,4% à 20%</w:t>
            </w:r>
          </w:p>
        </w:tc>
      </w:tr>
      <w:tr w:rsidR="00704FEB" w:rsidRPr="00704FEB" w:rsidTr="00704FEB">
        <w:trPr>
          <w:divId w:val="1330713064"/>
          <w:trHeight w:val="567"/>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Paimpont</w:t>
            </w:r>
          </w:p>
        </w:tc>
        <w:tc>
          <w:tcPr>
            <w:tcW w:w="124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Rénovation EP Esplanade Brocéliande</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14/11/2016</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27/01/2017</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12/07/2017</w:t>
            </w:r>
          </w:p>
        </w:tc>
        <w:tc>
          <w:tcPr>
            <w:tcW w:w="126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4 015,00 €</w:t>
            </w:r>
          </w:p>
        </w:tc>
        <w:tc>
          <w:tcPr>
            <w:tcW w:w="1265"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5 412,00 €</w:t>
            </w:r>
          </w:p>
        </w:tc>
        <w:tc>
          <w:tcPr>
            <w:tcW w:w="1241"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ascii="Calibri" w:eastAsia="Times New Roman" w:hAnsi="Calibri" w:cs="Arial"/>
                <w:sz w:val="20"/>
                <w:szCs w:val="20"/>
              </w:rPr>
            </w:pPr>
            <w:r w:rsidRPr="00704FEB">
              <w:rPr>
                <w:rFonts w:ascii="Calibri" w:eastAsia="Times New Roman" w:hAnsi="Calibri" w:cs="Arial"/>
                <w:sz w:val="20"/>
                <w:szCs w:val="20"/>
              </w:rPr>
              <w:t>63,5% à 50,8%</w:t>
            </w:r>
          </w:p>
        </w:tc>
      </w:tr>
      <w:tr w:rsidR="00704FEB" w:rsidRPr="00704FEB" w:rsidTr="00704FEB">
        <w:trPr>
          <w:divId w:val="1330713064"/>
          <w:trHeight w:val="567"/>
        </w:trPr>
        <w:tc>
          <w:tcPr>
            <w:tcW w:w="1058" w:type="dxa"/>
            <w:tcBorders>
              <w:top w:val="nil"/>
              <w:left w:val="single" w:sz="4" w:space="0" w:color="auto"/>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Paimpont</w:t>
            </w:r>
          </w:p>
        </w:tc>
        <w:tc>
          <w:tcPr>
            <w:tcW w:w="124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Eclairage terrain de football</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14/11/2016</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cs="Arial"/>
                <w:sz w:val="20"/>
                <w:szCs w:val="20"/>
              </w:rPr>
            </w:pPr>
            <w:r w:rsidRPr="00704FEB">
              <w:rPr>
                <w:rFonts w:cs="Arial"/>
                <w:sz w:val="20"/>
                <w:szCs w:val="20"/>
              </w:rPr>
              <w:t>27/01/2017</w:t>
            </w:r>
          </w:p>
        </w:tc>
        <w:tc>
          <w:tcPr>
            <w:tcW w:w="1140"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cs="Arial"/>
                <w:sz w:val="20"/>
                <w:szCs w:val="20"/>
              </w:rPr>
            </w:pPr>
            <w:r w:rsidRPr="00704FEB">
              <w:rPr>
                <w:rFonts w:cs="Arial"/>
                <w:sz w:val="20"/>
                <w:szCs w:val="20"/>
              </w:rPr>
              <w:t>27/03/2018</w:t>
            </w:r>
          </w:p>
        </w:tc>
        <w:tc>
          <w:tcPr>
            <w:tcW w:w="1267"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12 580,00 €</w:t>
            </w:r>
          </w:p>
        </w:tc>
        <w:tc>
          <w:tcPr>
            <w:tcW w:w="1265"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right"/>
              <w:rPr>
                <w:rFonts w:ascii="Calibri" w:eastAsia="Times New Roman" w:hAnsi="Calibri" w:cs="Arial"/>
                <w:sz w:val="20"/>
                <w:szCs w:val="20"/>
              </w:rPr>
            </w:pPr>
            <w:r w:rsidRPr="00704FEB">
              <w:rPr>
                <w:rFonts w:ascii="Calibri" w:eastAsia="Times New Roman" w:hAnsi="Calibri" w:cs="Arial"/>
                <w:sz w:val="20"/>
                <w:szCs w:val="20"/>
              </w:rPr>
              <w:t>9 920,00 €</w:t>
            </w:r>
          </w:p>
        </w:tc>
        <w:tc>
          <w:tcPr>
            <w:tcW w:w="1241" w:type="dxa"/>
            <w:tcBorders>
              <w:top w:val="nil"/>
              <w:left w:val="nil"/>
              <w:bottom w:val="single" w:sz="4" w:space="0" w:color="auto"/>
              <w:right w:val="single" w:sz="4" w:space="0" w:color="auto"/>
            </w:tcBorders>
            <w:shd w:val="clear" w:color="auto" w:fill="auto"/>
            <w:vAlign w:val="center"/>
            <w:hideMark/>
          </w:tcPr>
          <w:p w:rsidR="00704FEB" w:rsidRPr="00704FEB" w:rsidRDefault="00704FEB" w:rsidP="00704FEB">
            <w:pPr>
              <w:jc w:val="center"/>
              <w:rPr>
                <w:rFonts w:ascii="Calibri" w:eastAsia="Times New Roman" w:hAnsi="Calibri" w:cs="Arial"/>
                <w:sz w:val="20"/>
                <w:szCs w:val="20"/>
              </w:rPr>
            </w:pPr>
            <w:r w:rsidRPr="00704FEB">
              <w:rPr>
                <w:rFonts w:ascii="Calibri" w:eastAsia="Times New Roman" w:hAnsi="Calibri" w:cs="Arial"/>
                <w:sz w:val="20"/>
                <w:szCs w:val="20"/>
              </w:rPr>
              <w:t>25,4 à 20 %</w:t>
            </w:r>
          </w:p>
        </w:tc>
      </w:tr>
    </w:tbl>
    <w:p w:rsidR="00C16746" w:rsidRPr="00C16746" w:rsidRDefault="001E5FB8" w:rsidP="00DF7E34">
      <w:pPr>
        <w:rPr>
          <w:rFonts w:ascii="Calibri" w:hAnsi="Calibri"/>
          <w:sz w:val="24"/>
        </w:rPr>
      </w:pPr>
      <w:r>
        <w:rPr>
          <w:rFonts w:ascii="Calibri" w:hAnsi="Calibri"/>
          <w:b/>
          <w:szCs w:val="22"/>
        </w:rPr>
        <w:fldChar w:fldCharType="end"/>
      </w:r>
    </w:p>
    <w:p w:rsidR="00C16746" w:rsidRDefault="001E5FB8" w:rsidP="00DF7E34">
      <w:pPr>
        <w:rPr>
          <w:rFonts w:ascii="Calibri" w:hAnsi="Calibri"/>
          <w:szCs w:val="22"/>
        </w:rPr>
      </w:pPr>
      <w:r>
        <w:rPr>
          <w:rFonts w:ascii="Calibri" w:hAnsi="Calibri"/>
          <w:szCs w:val="22"/>
        </w:rPr>
        <w:t>Après avoir étudié chacune des demandes individuellement, le bureau propose au comité de valider ses conclusions</w:t>
      </w:r>
      <w:r w:rsidR="00260575">
        <w:rPr>
          <w:rFonts w:ascii="Calibri" w:hAnsi="Calibri"/>
          <w:szCs w:val="22"/>
        </w:rPr>
        <w:t>.</w:t>
      </w:r>
    </w:p>
    <w:p w:rsidR="00260575" w:rsidRDefault="00260575" w:rsidP="00DF7E34">
      <w:pPr>
        <w:rPr>
          <w:rFonts w:ascii="Calibri" w:hAnsi="Calibri"/>
          <w:szCs w:val="22"/>
        </w:rPr>
      </w:pPr>
    </w:p>
    <w:p w:rsidR="00260575" w:rsidRDefault="00260575" w:rsidP="00260575">
      <w:pPr>
        <w:rPr>
          <w:rFonts w:ascii="Calibri" w:hAnsi="Calibri"/>
          <w:szCs w:val="22"/>
        </w:rPr>
      </w:pPr>
      <w:r>
        <w:rPr>
          <w:rFonts w:ascii="Calibri" w:hAnsi="Calibri"/>
          <w:szCs w:val="22"/>
        </w:rPr>
        <w:t>Après délibération</w:t>
      </w:r>
      <w:r w:rsidR="003A4D72">
        <w:rPr>
          <w:rFonts w:ascii="Calibri" w:hAnsi="Calibri"/>
          <w:szCs w:val="22"/>
        </w:rPr>
        <w:t xml:space="preserve"> et compte tenu des éléments fournis par le bureau</w:t>
      </w:r>
      <w:r>
        <w:rPr>
          <w:rFonts w:ascii="Calibri" w:hAnsi="Calibri"/>
          <w:szCs w:val="22"/>
        </w:rPr>
        <w:t>, le comité, à l’unanimité décide :</w:t>
      </w:r>
    </w:p>
    <w:p w:rsidR="00260575" w:rsidRDefault="00260575" w:rsidP="00DF7E34">
      <w:pPr>
        <w:rPr>
          <w:rFonts w:ascii="Calibri" w:hAnsi="Calibri"/>
          <w:szCs w:val="22"/>
        </w:rPr>
      </w:pPr>
    </w:p>
    <w:p w:rsidR="001E5FB8" w:rsidRDefault="001E5FB8" w:rsidP="00DF7E34">
      <w:pPr>
        <w:rPr>
          <w:rFonts w:ascii="Calibri" w:hAnsi="Calibri"/>
          <w:szCs w:val="22"/>
        </w:rPr>
      </w:pPr>
      <w:r>
        <w:rPr>
          <w:rFonts w:ascii="Calibri" w:hAnsi="Calibri"/>
          <w:szCs w:val="22"/>
        </w:rPr>
        <w:t xml:space="preserve">- </w:t>
      </w:r>
      <w:r w:rsidR="00260575">
        <w:rPr>
          <w:rFonts w:ascii="Calibri" w:hAnsi="Calibri"/>
          <w:szCs w:val="22"/>
        </w:rPr>
        <w:t>D’accorder à titre dérogatoire l’</w:t>
      </w:r>
      <w:r>
        <w:rPr>
          <w:rFonts w:ascii="Calibri" w:hAnsi="Calibri"/>
          <w:szCs w:val="22"/>
        </w:rPr>
        <w:t>application du guide des aides 2017 pour les affaires :</w:t>
      </w:r>
    </w:p>
    <w:p w:rsidR="00CA14CD" w:rsidRDefault="00CA14CD" w:rsidP="00DF7E34">
      <w:pPr>
        <w:rPr>
          <w:rFonts w:ascii="Calibri" w:hAnsi="Calibri"/>
          <w:szCs w:val="22"/>
        </w:rPr>
      </w:pPr>
    </w:p>
    <w:p w:rsidR="001E5FB8" w:rsidRDefault="00595122" w:rsidP="00DF7E34">
      <w:pPr>
        <w:rPr>
          <w:rFonts w:ascii="Calibri" w:hAnsi="Calibri"/>
          <w:szCs w:val="22"/>
        </w:rPr>
      </w:pPr>
      <w:r w:rsidRPr="00595122">
        <w:rPr>
          <w:noProof/>
        </w:rPr>
        <w:drawing>
          <wp:inline distT="0" distB="0" distL="0" distR="0" wp14:anchorId="2211F109" wp14:editId="2558BA91">
            <wp:extent cx="6213763" cy="143394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1433147"/>
                    </a:xfrm>
                    <a:prstGeom prst="rect">
                      <a:avLst/>
                    </a:prstGeom>
                    <a:noFill/>
                    <a:ln>
                      <a:noFill/>
                    </a:ln>
                  </pic:spPr>
                </pic:pic>
              </a:graphicData>
            </a:graphic>
          </wp:inline>
        </w:drawing>
      </w:r>
    </w:p>
    <w:p w:rsidR="00595122" w:rsidRDefault="00595122" w:rsidP="00DF7E34">
      <w:pPr>
        <w:rPr>
          <w:rFonts w:ascii="Calibri" w:hAnsi="Calibri"/>
          <w:szCs w:val="22"/>
        </w:rPr>
      </w:pPr>
    </w:p>
    <w:p w:rsidR="00595122" w:rsidRDefault="00595122" w:rsidP="00DF7E34">
      <w:pPr>
        <w:rPr>
          <w:rFonts w:ascii="Calibri" w:hAnsi="Calibri"/>
          <w:szCs w:val="22"/>
        </w:rPr>
      </w:pPr>
    </w:p>
    <w:p w:rsidR="00595122" w:rsidRDefault="00595122" w:rsidP="00DF7E34">
      <w:pPr>
        <w:rPr>
          <w:rFonts w:ascii="Calibri" w:hAnsi="Calibri"/>
          <w:szCs w:val="22"/>
        </w:rPr>
      </w:pPr>
    </w:p>
    <w:p w:rsidR="00C16746" w:rsidRDefault="001E5FB8" w:rsidP="00DF7E34">
      <w:pPr>
        <w:rPr>
          <w:rFonts w:ascii="Calibri" w:hAnsi="Calibri"/>
          <w:szCs w:val="22"/>
        </w:rPr>
      </w:pPr>
      <w:r>
        <w:rPr>
          <w:rFonts w:ascii="Calibri" w:hAnsi="Calibri"/>
          <w:szCs w:val="22"/>
        </w:rPr>
        <w:lastRenderedPageBreak/>
        <w:t xml:space="preserve">- </w:t>
      </w:r>
      <w:r w:rsidR="0036238C">
        <w:rPr>
          <w:rFonts w:ascii="Calibri" w:hAnsi="Calibri"/>
          <w:szCs w:val="22"/>
        </w:rPr>
        <w:t>De refuser d’accorder une</w:t>
      </w:r>
      <w:r w:rsidR="00595122">
        <w:rPr>
          <w:rFonts w:ascii="Calibri" w:hAnsi="Calibri"/>
          <w:szCs w:val="22"/>
        </w:rPr>
        <w:t xml:space="preserve"> dérogation pour l’affaire </w:t>
      </w:r>
      <w:r w:rsidR="00260575">
        <w:rPr>
          <w:rFonts w:ascii="Calibri" w:hAnsi="Calibri"/>
          <w:szCs w:val="22"/>
        </w:rPr>
        <w:t>:</w:t>
      </w:r>
    </w:p>
    <w:p w:rsidR="00260575" w:rsidRDefault="00260575" w:rsidP="00DF7E34">
      <w:pPr>
        <w:rPr>
          <w:rFonts w:ascii="Calibri" w:hAnsi="Calibri"/>
          <w:szCs w:val="22"/>
        </w:rPr>
      </w:pPr>
    </w:p>
    <w:p w:rsidR="00CA14CD" w:rsidRDefault="00595122" w:rsidP="00DF7E34">
      <w:pPr>
        <w:rPr>
          <w:rFonts w:ascii="Calibri" w:hAnsi="Calibri"/>
          <w:szCs w:val="22"/>
        </w:rPr>
      </w:pPr>
      <w:r w:rsidRPr="00595122">
        <w:rPr>
          <w:noProof/>
        </w:rPr>
        <w:drawing>
          <wp:inline distT="0" distB="0" distL="0" distR="0" wp14:anchorId="527BBC5D" wp14:editId="6FF60F54">
            <wp:extent cx="6213763" cy="103216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1031589"/>
                    </a:xfrm>
                    <a:prstGeom prst="rect">
                      <a:avLst/>
                    </a:prstGeom>
                    <a:noFill/>
                    <a:ln>
                      <a:noFill/>
                    </a:ln>
                  </pic:spPr>
                </pic:pic>
              </a:graphicData>
            </a:graphic>
          </wp:inline>
        </w:drawing>
      </w:r>
    </w:p>
    <w:p w:rsidR="00CA14CD" w:rsidRPr="00C16746" w:rsidRDefault="00CA14CD" w:rsidP="00CA14CD">
      <w:pPr>
        <w:rPr>
          <w:rFonts w:ascii="Calibri" w:hAnsi="Calibri"/>
          <w:szCs w:val="22"/>
        </w:rPr>
      </w:pPr>
    </w:p>
    <w:p w:rsidR="00C16746" w:rsidRDefault="0036238C" w:rsidP="00DF7E34">
      <w:pPr>
        <w:rPr>
          <w:rFonts w:ascii="Calibri" w:hAnsi="Calibri"/>
          <w:szCs w:val="22"/>
        </w:rPr>
      </w:pPr>
      <w:r>
        <w:rPr>
          <w:rFonts w:ascii="Calibri" w:hAnsi="Calibri"/>
          <w:szCs w:val="22"/>
        </w:rPr>
        <w:t xml:space="preserve">Par ailleurs, le comité décide </w:t>
      </w:r>
      <w:r w:rsidR="003A4D72">
        <w:rPr>
          <w:rFonts w:ascii="Calibri" w:hAnsi="Calibri"/>
          <w:szCs w:val="22"/>
        </w:rPr>
        <w:t xml:space="preserve">que l’application du guide des aides 2017 à titre dérogatoire, ne sera </w:t>
      </w:r>
      <w:r w:rsidR="00CA14CD">
        <w:rPr>
          <w:rFonts w:ascii="Calibri" w:hAnsi="Calibri"/>
          <w:szCs w:val="22"/>
        </w:rPr>
        <w:t xml:space="preserve">plus </w:t>
      </w:r>
      <w:r w:rsidR="003A4D72">
        <w:rPr>
          <w:rFonts w:ascii="Calibri" w:hAnsi="Calibri"/>
          <w:szCs w:val="22"/>
        </w:rPr>
        <w:t>accordé</w:t>
      </w:r>
      <w:r w:rsidR="00595122">
        <w:rPr>
          <w:rFonts w:ascii="Calibri" w:hAnsi="Calibri"/>
          <w:szCs w:val="22"/>
        </w:rPr>
        <w:t>e</w:t>
      </w:r>
      <w:r w:rsidR="003A4D72">
        <w:rPr>
          <w:rFonts w:ascii="Calibri" w:hAnsi="Calibri"/>
          <w:szCs w:val="22"/>
        </w:rPr>
        <w:t xml:space="preserve"> </w:t>
      </w:r>
      <w:r w:rsidR="00CE480A">
        <w:rPr>
          <w:rFonts w:ascii="Calibri" w:hAnsi="Calibri"/>
          <w:szCs w:val="22"/>
        </w:rPr>
        <w:t>après le prochain Comité, prévu</w:t>
      </w:r>
      <w:r w:rsidR="00BF4662">
        <w:rPr>
          <w:rFonts w:ascii="Calibri" w:hAnsi="Calibri"/>
          <w:szCs w:val="22"/>
        </w:rPr>
        <w:t xml:space="preserve"> </w:t>
      </w:r>
      <w:r w:rsidR="00CE480A">
        <w:rPr>
          <w:rFonts w:ascii="Calibri" w:hAnsi="Calibri"/>
          <w:szCs w:val="22"/>
        </w:rPr>
        <w:t>le</w:t>
      </w:r>
      <w:r w:rsidR="003A4D72">
        <w:rPr>
          <w:rFonts w:ascii="Calibri" w:hAnsi="Calibri"/>
          <w:szCs w:val="22"/>
        </w:rPr>
        <w:t xml:space="preserve"> 22 mai 2018. </w:t>
      </w:r>
    </w:p>
    <w:p w:rsidR="0036238C" w:rsidRPr="0036238C" w:rsidRDefault="0036238C" w:rsidP="00DF7E34">
      <w:pPr>
        <w:rPr>
          <w:rFonts w:ascii="Calibri" w:hAnsi="Calibri"/>
          <w:szCs w:val="22"/>
        </w:rPr>
      </w:pPr>
    </w:p>
    <w:p w:rsidR="00C16746" w:rsidRPr="00A055C0" w:rsidRDefault="00C16746" w:rsidP="00DF7E34">
      <w:pPr>
        <w:rPr>
          <w:rFonts w:ascii="Calibri" w:hAnsi="Calibri"/>
          <w:sz w:val="16"/>
          <w:szCs w:val="16"/>
        </w:rPr>
      </w:pPr>
    </w:p>
    <w:p w:rsidR="00960664" w:rsidRPr="00FB27C6" w:rsidRDefault="00C16746" w:rsidP="002D2150">
      <w:pPr>
        <w:pStyle w:val="Paragraphedeliste"/>
        <w:numPr>
          <w:ilvl w:val="0"/>
          <w:numId w:val="8"/>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C16746">
        <w:rPr>
          <w:rFonts w:ascii="Venacti Sb" w:hAnsi="Venacti Sb"/>
          <w:color w:val="FFFFFF"/>
          <w:sz w:val="24"/>
        </w:rPr>
        <w:t xml:space="preserve">Finances – </w:t>
      </w:r>
      <w:r w:rsidR="00CA14CD">
        <w:rPr>
          <w:rFonts w:ascii="Venacti Sb" w:hAnsi="Venacti Sb"/>
          <w:color w:val="FFFFFF"/>
          <w:sz w:val="24"/>
        </w:rPr>
        <w:t>Attribution</w:t>
      </w:r>
      <w:r w:rsidRPr="00C16746">
        <w:rPr>
          <w:rFonts w:ascii="Venacti Sb" w:hAnsi="Venacti Sb"/>
          <w:color w:val="FFFFFF"/>
          <w:sz w:val="24"/>
        </w:rPr>
        <w:t xml:space="preserve"> de subvention </w:t>
      </w:r>
      <w:r w:rsidR="00CE480A">
        <w:rPr>
          <w:rFonts w:ascii="Venacti Sb" w:hAnsi="Venacti Sb"/>
          <w:color w:val="FFFFFF"/>
          <w:sz w:val="24"/>
        </w:rPr>
        <w:t>à</w:t>
      </w:r>
      <w:r w:rsidR="00CE480A" w:rsidRPr="00C16746">
        <w:rPr>
          <w:rFonts w:ascii="Venacti Sb" w:hAnsi="Venacti Sb"/>
          <w:color w:val="FFFFFF"/>
          <w:sz w:val="24"/>
        </w:rPr>
        <w:t xml:space="preserve"> </w:t>
      </w:r>
      <w:r w:rsidRPr="00C16746">
        <w:rPr>
          <w:rFonts w:ascii="Venacti Sb" w:hAnsi="Venacti Sb"/>
          <w:color w:val="FFFFFF"/>
          <w:sz w:val="24"/>
        </w:rPr>
        <w:t xml:space="preserve">l’association Energy Cities </w:t>
      </w:r>
    </w:p>
    <w:p w:rsidR="00E713CA" w:rsidRPr="00A055C0" w:rsidRDefault="00E713CA" w:rsidP="00672AC9">
      <w:pPr>
        <w:rPr>
          <w:sz w:val="16"/>
          <w:szCs w:val="16"/>
        </w:rPr>
      </w:pPr>
    </w:p>
    <w:p w:rsidR="00C16746" w:rsidRDefault="00C16746" w:rsidP="00C16746">
      <w:r>
        <w:t xml:space="preserve">Energy Cities, association européenne des autorités locales en matière de transition énergétique, a sollicité le SDE35 dans le cadre de l’organisation de sa conférence annuelle/assemblée générale qui se déroulera à Rennes les 18, 19 et 20 avril 2018. </w:t>
      </w:r>
    </w:p>
    <w:p w:rsidR="00C16746" w:rsidRDefault="00C16746" w:rsidP="00C16746"/>
    <w:p w:rsidR="00C16746" w:rsidRDefault="00C16746" w:rsidP="00C16746">
      <w:r>
        <w:t>La Ville de Rennes, Rennes Métropole, la région Bretagne, le Conseil Départemental, l’ADEME Bretagne sont partenaires de l’évènement. Une participation du SDE35 aurait pour intérêt :</w:t>
      </w:r>
    </w:p>
    <w:p w:rsidR="00C16746" w:rsidRDefault="00C16746" w:rsidP="00CA14CD">
      <w:pPr>
        <w:ind w:left="1134" w:hanging="425"/>
      </w:pPr>
      <w:r>
        <w:t>•</w:t>
      </w:r>
      <w:r>
        <w:tab/>
        <w:t>Une tribune pour promouvoir la SEM du SDE35 en phase de lancement,</w:t>
      </w:r>
    </w:p>
    <w:p w:rsidR="00C16746" w:rsidRDefault="00C16746" w:rsidP="00CA14CD">
      <w:pPr>
        <w:ind w:left="1134" w:hanging="425"/>
      </w:pPr>
      <w:r>
        <w:t>•</w:t>
      </w:r>
      <w:r>
        <w:tab/>
        <w:t>Une vitrine pour faire connaître le SDE35 et ses actions à un public plus large,</w:t>
      </w:r>
    </w:p>
    <w:p w:rsidR="00C16746" w:rsidRDefault="00C16746" w:rsidP="00CA14CD">
      <w:pPr>
        <w:ind w:left="1134" w:hanging="425"/>
      </w:pPr>
      <w:r>
        <w:t>•</w:t>
      </w:r>
      <w:r>
        <w:tab/>
        <w:t>Une opportunité pour échanger entre acteurs de la transition énergétique, créer du réseau, découvrir des initiatives locales européennes éventuellement duplicables sur notre territoire.</w:t>
      </w:r>
    </w:p>
    <w:p w:rsidR="00C16746" w:rsidRDefault="00C16746" w:rsidP="00C16746"/>
    <w:p w:rsidR="00C16746" w:rsidRDefault="00C16746" w:rsidP="00C16746">
      <w:r>
        <w:t>L’association a sollicité le SDE35 pour lui apporter une subvention de 10 000 €.</w:t>
      </w:r>
    </w:p>
    <w:p w:rsidR="00C16746" w:rsidRDefault="00C16746" w:rsidP="00C16746"/>
    <w:p w:rsidR="00165DF9" w:rsidRDefault="00C16746" w:rsidP="00C16746">
      <w:r>
        <w:t>Invité à se prononcer sur cette demande, le bureau syndical, lors de sa séance du 27 février dernier</w:t>
      </w:r>
      <w:r w:rsidR="00CA14CD">
        <w:t>,</w:t>
      </w:r>
      <w:r>
        <w:t xml:space="preserve"> considérant que le SDE35 n’adhère pas à l’association Energy cities et après avoir pris connaissance de la note d’information sur le projet, a décidé de proposer au comité syndical d’attribuer une subvention de 5 000 € pour l’organisation de la conférence annuelle/Assemblée générale d’Energy cities.</w:t>
      </w:r>
    </w:p>
    <w:p w:rsidR="00C16746" w:rsidRDefault="00C16746" w:rsidP="00C16746"/>
    <w:p w:rsidR="00C16746" w:rsidRDefault="00C16746" w:rsidP="00C16746">
      <w:r>
        <w:t>Après délibération, le comité syndical, à l’unanimité décide d’allouer une subvention de 5 000 € pour l’organisation de l’assemblée générale d’Ene</w:t>
      </w:r>
      <w:r w:rsidR="00CA14CD">
        <w:t>r</w:t>
      </w:r>
      <w:r>
        <w:t xml:space="preserve">gies cities </w:t>
      </w:r>
      <w:r w:rsidRPr="00C16746">
        <w:t xml:space="preserve">et </w:t>
      </w:r>
      <w:r>
        <w:t>d’</w:t>
      </w:r>
      <w:r w:rsidRPr="00C16746">
        <w:t>autoriser le président à signer tous les documents relatifs à cette affaire.</w:t>
      </w:r>
    </w:p>
    <w:p w:rsidR="00C16746" w:rsidRDefault="00C16746" w:rsidP="00165DF9"/>
    <w:p w:rsidR="00C16746" w:rsidRDefault="00C16746" w:rsidP="00165DF9"/>
    <w:p w:rsidR="00E713CA" w:rsidRPr="00672AC9" w:rsidRDefault="00B2558D" w:rsidP="00523CF0">
      <w:pPr>
        <w:pStyle w:val="Paragraphedeliste"/>
        <w:pBdr>
          <w:top w:val="single" w:sz="4" w:space="0" w:color="808080"/>
          <w:left w:val="single" w:sz="4" w:space="4" w:color="808080"/>
          <w:bottom w:val="single" w:sz="4" w:space="1" w:color="808080"/>
          <w:right w:val="single" w:sz="4" w:space="4" w:color="808080"/>
        </w:pBdr>
        <w:shd w:val="clear" w:color="auto" w:fill="595959"/>
        <w:ind w:left="0"/>
        <w:rPr>
          <w:rFonts w:cs="Calibri"/>
        </w:rPr>
      </w:pPr>
      <w:r>
        <w:rPr>
          <w:rFonts w:ascii="Venacti Sb" w:hAnsi="Venacti Sb"/>
          <w:color w:val="FFFFFF"/>
          <w:sz w:val="24"/>
        </w:rPr>
        <w:t>6</w:t>
      </w:r>
      <w:r w:rsidR="00523CF0">
        <w:rPr>
          <w:rFonts w:ascii="Venacti Sb" w:hAnsi="Venacti Sb"/>
          <w:color w:val="FFFFFF"/>
          <w:sz w:val="24"/>
        </w:rPr>
        <w:t>-</w:t>
      </w:r>
      <w:r w:rsidR="001B1CE2" w:rsidRPr="001B1CE2">
        <w:t xml:space="preserve"> </w:t>
      </w:r>
      <w:r w:rsidR="00C16746" w:rsidRPr="00C16746">
        <w:rPr>
          <w:rFonts w:ascii="Venacti Sb" w:hAnsi="Venacti Sb"/>
          <w:color w:val="FFFFFF"/>
          <w:sz w:val="24"/>
        </w:rPr>
        <w:t xml:space="preserve">Ressources humaines – Adhésion à Pôle Emploi </w:t>
      </w:r>
    </w:p>
    <w:p w:rsidR="00F323DC" w:rsidRPr="00A055C0" w:rsidRDefault="00F323DC" w:rsidP="00F323DC">
      <w:pPr>
        <w:rPr>
          <w:sz w:val="16"/>
          <w:szCs w:val="16"/>
        </w:rPr>
      </w:pPr>
    </w:p>
    <w:p w:rsidR="00C16746" w:rsidRPr="006E4A7D" w:rsidRDefault="00C16746" w:rsidP="00C16746">
      <w:r w:rsidRPr="006E4A7D">
        <w:t>L</w:t>
      </w:r>
      <w:r>
        <w:t>e</w:t>
      </w:r>
      <w:r w:rsidRPr="006E4A7D">
        <w:t xml:space="preserve"> SDE35 est son propre assureur pour le risque perte d’emploi de son personnel non titulaire. </w:t>
      </w:r>
      <w:r>
        <w:t>Les</w:t>
      </w:r>
      <w:r w:rsidRPr="006E4A7D">
        <w:t xml:space="preserve"> Collectivité</w:t>
      </w:r>
      <w:r>
        <w:t>s</w:t>
      </w:r>
      <w:r w:rsidRPr="006E4A7D">
        <w:t xml:space="preserve"> Territoriale</w:t>
      </w:r>
      <w:r>
        <w:t>s</w:t>
      </w:r>
      <w:r w:rsidRPr="006E4A7D">
        <w:t xml:space="preserve"> et </w:t>
      </w:r>
      <w:r>
        <w:t>leurs</w:t>
      </w:r>
      <w:r w:rsidRPr="006E4A7D">
        <w:t xml:space="preserve"> syndicats ont le choix entre cette auto assurance, qui induit le paiement direct de l’indemnisation</w:t>
      </w:r>
      <w:r>
        <w:t xml:space="preserve"> aux agents quittant la structure</w:t>
      </w:r>
      <w:r w:rsidRPr="006E4A7D">
        <w:t>, ou une adhésion à Pôle Emploi et le paiement d’une cotisation</w:t>
      </w:r>
      <w:r>
        <w:t xml:space="preserve"> sur les agents non titulaires</w:t>
      </w:r>
      <w:r w:rsidRPr="006E4A7D">
        <w:t>.</w:t>
      </w:r>
    </w:p>
    <w:p w:rsidR="00C16746" w:rsidRPr="006E4A7D" w:rsidRDefault="00C16746" w:rsidP="00C16746"/>
    <w:p w:rsidR="00C16746" w:rsidRDefault="00C16746" w:rsidP="00C16746">
      <w:r w:rsidRPr="006E4A7D">
        <w:t xml:space="preserve">Bien que le syndicat compte une forte majorité d’agents titulaires au sein de ses effectifs, les besoins actuels peuvent nécessiter des recrutements contractuels. </w:t>
      </w:r>
    </w:p>
    <w:p w:rsidR="00C16746" w:rsidRPr="006E4A7D" w:rsidRDefault="00C16746" w:rsidP="00C16746"/>
    <w:p w:rsidR="00C16746" w:rsidRPr="006E4A7D" w:rsidRDefault="00C16746" w:rsidP="00C16746">
      <w:r w:rsidRPr="006E4A7D">
        <w:t>Ainsi, afin de maintenir le bon déroulement du service public, la collectivité peut adhérer volontairement au régime d’assurance chômage pour son personnel non titulaire y compris les contrats d’apprentissage. C’est le cas de l’adhésion révocable qui confie :</w:t>
      </w:r>
    </w:p>
    <w:p w:rsidR="00C16746" w:rsidRPr="006E4A7D" w:rsidRDefault="00C16746" w:rsidP="00130F35">
      <w:pPr>
        <w:pStyle w:val="Paragraphedeliste"/>
        <w:numPr>
          <w:ilvl w:val="0"/>
          <w:numId w:val="14"/>
        </w:numPr>
        <w:spacing w:line="240" w:lineRule="auto"/>
        <w:jc w:val="left"/>
      </w:pPr>
      <w:r w:rsidRPr="006E4A7D">
        <w:lastRenderedPageBreak/>
        <w:t>aux URSSAF, la mission de conclure les contrats d’adhésion au régime d’assurance</w:t>
      </w:r>
      <w:r>
        <w:t xml:space="preserve"> chômage des employeurs publics</w:t>
      </w:r>
    </w:p>
    <w:p w:rsidR="00C16746" w:rsidRPr="006E4A7D" w:rsidRDefault="00C16746" w:rsidP="00130F35">
      <w:pPr>
        <w:pStyle w:val="Paragraphedeliste"/>
        <w:numPr>
          <w:ilvl w:val="0"/>
          <w:numId w:val="14"/>
        </w:numPr>
        <w:spacing w:line="240" w:lineRule="auto"/>
        <w:jc w:val="left"/>
      </w:pPr>
      <w:r w:rsidRPr="006E4A7D">
        <w:t>à Pôle-emploi, la mission de versement de l’allocation d’assurance aux demandeurs d’emplois inscrits, dans les conditions définies par la règlementation d’assurance chômage.</w:t>
      </w:r>
    </w:p>
    <w:p w:rsidR="00C16746" w:rsidRPr="006E4A7D" w:rsidRDefault="00C16746" w:rsidP="00C16746"/>
    <w:p w:rsidR="00C16746" w:rsidRPr="006E4A7D" w:rsidRDefault="00C16746" w:rsidP="00C16746">
      <w:r w:rsidRPr="006E4A7D">
        <w:t xml:space="preserve">L’adhésion révocable au régime d’assurance chômage est donc enregistrée </w:t>
      </w:r>
      <w:r>
        <w:t>à l’</w:t>
      </w:r>
      <w:r w:rsidRPr="006E4A7D">
        <w:t xml:space="preserve">URSSAF. Le contrat d’adhésion est conclu pour une durée de 6 ans et reconduit tacitement pour la même durée. Après signature du contrat d’adhésion, l’employeur public verse </w:t>
      </w:r>
      <w:r>
        <w:t>l</w:t>
      </w:r>
      <w:r w:rsidRPr="006E4A7D">
        <w:t>es con</w:t>
      </w:r>
      <w:r>
        <w:t xml:space="preserve">tributions à l’URSSAF qui sont </w:t>
      </w:r>
      <w:r w:rsidRPr="006E4A7D">
        <w:t xml:space="preserve">calculées sur les rémunérations brutes servant de base au calcul des cotisations de sécurité sociale. Le taux de la contribution est fixé à </w:t>
      </w:r>
      <w:r w:rsidR="00CA14CD">
        <w:t>4,05 %</w:t>
      </w:r>
      <w:r>
        <w:t xml:space="preserve"> en 2018 pour l’employeur</w:t>
      </w:r>
      <w:r w:rsidRPr="006E4A7D">
        <w:t>.</w:t>
      </w:r>
    </w:p>
    <w:p w:rsidR="00C16746" w:rsidRPr="006E4A7D" w:rsidRDefault="00C16746" w:rsidP="00C16746"/>
    <w:p w:rsidR="00C16746" w:rsidRPr="006E4A7D" w:rsidRDefault="00C16746" w:rsidP="00C16746">
      <w:r>
        <w:t>Après délibération, le c</w:t>
      </w:r>
      <w:r w:rsidRPr="006E4A7D">
        <w:t>omité syndical</w:t>
      </w:r>
      <w:r>
        <w:t xml:space="preserve">, à l’unanimité, décide l’adhésion du Syndicat </w:t>
      </w:r>
      <w:r w:rsidRPr="006E4A7D">
        <w:t>à l’assurance-chômage à compter du 1</w:t>
      </w:r>
      <w:r w:rsidRPr="006E4A7D">
        <w:rPr>
          <w:vertAlign w:val="superscript"/>
        </w:rPr>
        <w:t>er</w:t>
      </w:r>
      <w:r w:rsidRPr="006E4A7D">
        <w:t xml:space="preserve"> juin 201</w:t>
      </w:r>
      <w:r>
        <w:t>8 et autorise</w:t>
      </w:r>
      <w:r w:rsidRPr="006E4A7D">
        <w:t xml:space="preserve"> Monsieur le Président à signe</w:t>
      </w:r>
      <w:r>
        <w:t>r le contrat d’adhésion adéquat ainsi que tous les documents relatifs à cette affaire.</w:t>
      </w:r>
    </w:p>
    <w:p w:rsidR="00E41621" w:rsidRDefault="00E41621" w:rsidP="00C16746">
      <w:pPr>
        <w:jc w:val="left"/>
      </w:pPr>
    </w:p>
    <w:p w:rsidR="00C16746" w:rsidRDefault="00C16746" w:rsidP="00C16746">
      <w:pPr>
        <w:jc w:val="left"/>
      </w:pPr>
    </w:p>
    <w:p w:rsidR="007E0BF2" w:rsidRPr="00AA5D00" w:rsidRDefault="00B2558D" w:rsidP="002D2150">
      <w:pPr>
        <w:pBdr>
          <w:top w:val="single" w:sz="4" w:space="0" w:color="808080"/>
          <w:left w:val="single" w:sz="4" w:space="4" w:color="808080"/>
          <w:bottom w:val="single" w:sz="4" w:space="1" w:color="808080"/>
          <w:right w:val="single" w:sz="4" w:space="4" w:color="808080"/>
        </w:pBdr>
        <w:shd w:val="clear" w:color="auto" w:fill="595959"/>
        <w:ind w:left="142" w:right="-1" w:hanging="142"/>
        <w:rPr>
          <w:rFonts w:ascii="Venacti Sb" w:hAnsi="Venacti Sb"/>
          <w:color w:val="FFFFFF"/>
          <w:sz w:val="24"/>
        </w:rPr>
      </w:pPr>
      <w:r>
        <w:rPr>
          <w:rFonts w:ascii="Venacti Sb" w:hAnsi="Venacti Sb"/>
          <w:color w:val="FFFFFF"/>
          <w:sz w:val="24"/>
        </w:rPr>
        <w:t>7</w:t>
      </w:r>
      <w:r w:rsidR="00AA5D00">
        <w:rPr>
          <w:rFonts w:ascii="Venacti Sb" w:hAnsi="Venacti Sb"/>
          <w:color w:val="FFFFFF"/>
          <w:sz w:val="24"/>
        </w:rPr>
        <w:t xml:space="preserve">- </w:t>
      </w:r>
      <w:r w:rsidR="00C16746" w:rsidRPr="00C16746">
        <w:rPr>
          <w:rFonts w:ascii="Venacti Sb" w:hAnsi="Venacti Sb"/>
          <w:color w:val="FFFFFF"/>
          <w:sz w:val="24"/>
        </w:rPr>
        <w:t>Ressources humaines – Indemnité kilométrique vélo</w:t>
      </w:r>
    </w:p>
    <w:p w:rsidR="00E713CA" w:rsidRPr="00C302E4" w:rsidRDefault="00E713CA" w:rsidP="00A602B7">
      <w:pPr>
        <w:rPr>
          <w:rFonts w:ascii="Calibri" w:eastAsia="Times New Roman" w:hAnsi="Calibri"/>
          <w:iCs/>
          <w:color w:val="000000"/>
          <w:szCs w:val="22"/>
          <w:lang w:eastAsia="x-none"/>
        </w:rPr>
      </w:pPr>
    </w:p>
    <w:p w:rsidR="00B81F83" w:rsidRPr="00B81F83" w:rsidRDefault="00B81F83" w:rsidP="00130F35">
      <w:pPr>
        <w:pStyle w:val="Paragraphedeliste"/>
        <w:spacing w:line="240" w:lineRule="auto"/>
        <w:ind w:left="0"/>
        <w:rPr>
          <w:szCs w:val="22"/>
        </w:rPr>
      </w:pPr>
      <w:r w:rsidRPr="00B81F83">
        <w:rPr>
          <w:szCs w:val="22"/>
        </w:rPr>
        <w:t>La Loi n°2015-992 du 17 août 2015 relative à la transition énergétique pour la croissance verte (TECV) prévoit, dans son article 50, la création d’une « indemnité kilométrique vélo » pour les salariés du secteur privé. Cette indemnité n’est à ce jour réellement codifiée par la loi que dans le secteur privé ; dans le secteur public, le décret n°2016-1184 du 31 août 2016 a seulement autorisé une expérimentation dans deux ministères et les établissements publics en dépendant.</w:t>
      </w:r>
    </w:p>
    <w:p w:rsidR="00B81F83" w:rsidRPr="00B81F83" w:rsidRDefault="00B81F83" w:rsidP="00130F35">
      <w:pPr>
        <w:pStyle w:val="Paragraphedeliste"/>
        <w:spacing w:line="240" w:lineRule="auto"/>
        <w:ind w:left="0"/>
        <w:rPr>
          <w:szCs w:val="22"/>
        </w:rPr>
      </w:pPr>
    </w:p>
    <w:p w:rsidR="00B81F83" w:rsidRPr="00B81F83" w:rsidRDefault="00B81F83" w:rsidP="00130F35">
      <w:pPr>
        <w:rPr>
          <w:szCs w:val="22"/>
        </w:rPr>
      </w:pPr>
      <w:r w:rsidRPr="00B81F83">
        <w:rPr>
          <w:szCs w:val="22"/>
        </w:rPr>
        <w:t xml:space="preserve">Conformément à l’article 1 du décret N° 2016-144 du 11 février 2016, l’indemnité kilométrique vélo  pour les trajets de rabattement vers ou à partir des arrêts de transport public, peut être cumulée avec la participation à l’abonnement de transport collectif ou de service public de location de vélo prévue à l'article L. 3261-2, à condition que l’abonnement ne permette pas d'effectuer ces mêmes trajets. </w:t>
      </w:r>
    </w:p>
    <w:p w:rsidR="00B81F83" w:rsidRPr="00B81F83" w:rsidRDefault="00B81F83" w:rsidP="00130F35">
      <w:pPr>
        <w:rPr>
          <w:szCs w:val="22"/>
        </w:rPr>
      </w:pPr>
    </w:p>
    <w:p w:rsidR="00B81F83" w:rsidRPr="00B81F83" w:rsidRDefault="00B81F83" w:rsidP="00130F35">
      <w:pPr>
        <w:rPr>
          <w:szCs w:val="22"/>
        </w:rPr>
      </w:pPr>
      <w:r w:rsidRPr="00B81F83">
        <w:rPr>
          <w:szCs w:val="22"/>
        </w:rPr>
        <w:t>L’ensemble du personnel présent dans la collectivité peut bénéficier de cette indemnité : titulaires, stagiaires, contractuels, mis à disposition).</w:t>
      </w:r>
    </w:p>
    <w:p w:rsidR="00B81F83" w:rsidRPr="00130F35" w:rsidRDefault="00B81F83" w:rsidP="00130F35">
      <w:pPr>
        <w:rPr>
          <w:szCs w:val="22"/>
        </w:rPr>
      </w:pPr>
    </w:p>
    <w:p w:rsidR="00B81F83" w:rsidRPr="00B81F83" w:rsidRDefault="00B81F83" w:rsidP="00130F35">
      <w:pPr>
        <w:pStyle w:val="Paragraphedeliste"/>
        <w:spacing w:line="240" w:lineRule="auto"/>
        <w:ind w:left="0"/>
        <w:rPr>
          <w:szCs w:val="22"/>
        </w:rPr>
      </w:pPr>
      <w:r w:rsidRPr="00B81F83">
        <w:rPr>
          <w:szCs w:val="22"/>
        </w:rPr>
        <w:t>Le décret n°2016-144 du 11 février 2016 en a fixé le montant à 25 centimes d’euro par kilomètre pour la  distance entre la résidence habituelle et le lieu de travail pour les déplacements à vélo ou à vélo à assistance électrique. Facultative, son montant est plafonné à 200,00 euros par an et par personne, pour les exonérations de charges et d’impôt sur le revenu.</w:t>
      </w:r>
    </w:p>
    <w:p w:rsidR="00B81F83" w:rsidRPr="00130F35" w:rsidRDefault="00B81F83" w:rsidP="00130F35">
      <w:pPr>
        <w:rPr>
          <w:szCs w:val="22"/>
        </w:rPr>
      </w:pPr>
    </w:p>
    <w:p w:rsidR="00B81F83" w:rsidRPr="00B81F83" w:rsidRDefault="00B81F83" w:rsidP="00130F35">
      <w:pPr>
        <w:rPr>
          <w:szCs w:val="22"/>
        </w:rPr>
      </w:pPr>
      <w:r w:rsidRPr="00B81F83">
        <w:rPr>
          <w:szCs w:val="22"/>
        </w:rPr>
        <w:t>Le trajet effectué à vélo pris en compte pour le calcul de la prise en charge des frais engagés pour se déplacer à vélo ou à vélo à assistance électrique correspond à la distance la plus courte entre la résidence habituelle du salarié et le lieu de travail et la gare ou la station de transport collectif.</w:t>
      </w:r>
    </w:p>
    <w:p w:rsidR="00B81F83" w:rsidRPr="00130F35" w:rsidRDefault="00B81F83" w:rsidP="00130F35">
      <w:pPr>
        <w:rPr>
          <w:szCs w:val="22"/>
        </w:rPr>
      </w:pPr>
    </w:p>
    <w:p w:rsidR="00B81F83" w:rsidRPr="00B81F83" w:rsidRDefault="00B81F83" w:rsidP="00130F35">
      <w:pPr>
        <w:rPr>
          <w:szCs w:val="22"/>
        </w:rPr>
      </w:pPr>
      <w:r w:rsidRPr="00B81F83">
        <w:rPr>
          <w:szCs w:val="22"/>
        </w:rPr>
        <w:t>Les agents souhaitant bénéficier de l’indemnité kilométrique vélo  devront avoir lu et accepté les modalités de mise en œuvre  intégrées au formulaire de demande annexé :</w:t>
      </w:r>
    </w:p>
    <w:p w:rsidR="00B81F83" w:rsidRPr="00B81F83" w:rsidRDefault="00B81F83" w:rsidP="00130F35">
      <w:pPr>
        <w:rPr>
          <w:szCs w:val="22"/>
        </w:rPr>
      </w:pPr>
    </w:p>
    <w:p w:rsidR="00B81F83" w:rsidRPr="00B81F83" w:rsidRDefault="00B81F83" w:rsidP="00130F35">
      <w:pPr>
        <w:pStyle w:val="Paragraphedeliste"/>
        <w:numPr>
          <w:ilvl w:val="0"/>
          <w:numId w:val="24"/>
        </w:numPr>
        <w:spacing w:line="240" w:lineRule="auto"/>
        <w:rPr>
          <w:szCs w:val="22"/>
        </w:rPr>
      </w:pPr>
      <w:r w:rsidRPr="00B81F83">
        <w:rPr>
          <w:szCs w:val="22"/>
        </w:rPr>
        <w:t>Un seul aller-retour par jour travaillé sera accepté. Le trajet vélo le plus direct entre le domicile du bénéficiaire et son lieu de travail sera considéré (sur la base des itinéraires vélos recommandés par les calculateurs d’itinéraires) ;</w:t>
      </w:r>
    </w:p>
    <w:p w:rsidR="00B81F83" w:rsidRPr="00B81F83" w:rsidRDefault="00B81F83" w:rsidP="00130F35">
      <w:pPr>
        <w:pStyle w:val="Paragraphedeliste"/>
        <w:spacing w:line="240" w:lineRule="auto"/>
        <w:rPr>
          <w:szCs w:val="22"/>
        </w:rPr>
      </w:pPr>
    </w:p>
    <w:p w:rsidR="00B81F83" w:rsidRPr="00B81F83" w:rsidRDefault="00B81F83" w:rsidP="00130F35">
      <w:pPr>
        <w:pStyle w:val="Paragraphedeliste"/>
        <w:numPr>
          <w:ilvl w:val="0"/>
          <w:numId w:val="24"/>
        </w:numPr>
        <w:spacing w:line="240" w:lineRule="auto"/>
        <w:rPr>
          <w:szCs w:val="22"/>
        </w:rPr>
      </w:pPr>
      <w:r w:rsidRPr="00B81F83">
        <w:rPr>
          <w:szCs w:val="22"/>
        </w:rPr>
        <w:t>Le bénéficiaire informera l’employeur des trajets réalisés en vélo selon les modalités définies. L’indemnité pourra être versée forfaitairement ou à partir des déclarations (sur tableau papier ou saisies en ligne ou envoyées par messagerie), selon la fréquence demandée ;</w:t>
      </w:r>
    </w:p>
    <w:p w:rsidR="00B81F83" w:rsidRPr="00B81F83" w:rsidRDefault="00B81F83" w:rsidP="00130F35">
      <w:pPr>
        <w:rPr>
          <w:szCs w:val="22"/>
        </w:rPr>
      </w:pPr>
    </w:p>
    <w:p w:rsidR="00B81F83" w:rsidRPr="00B81F83" w:rsidRDefault="00B81F83" w:rsidP="00130F35">
      <w:pPr>
        <w:pStyle w:val="Paragraphedeliste"/>
        <w:numPr>
          <w:ilvl w:val="0"/>
          <w:numId w:val="24"/>
        </w:numPr>
        <w:spacing w:line="240" w:lineRule="auto"/>
        <w:rPr>
          <w:szCs w:val="22"/>
        </w:rPr>
      </w:pPr>
      <w:r w:rsidRPr="00B81F83">
        <w:rPr>
          <w:szCs w:val="22"/>
        </w:rPr>
        <w:lastRenderedPageBreak/>
        <w:t>L’indemnité sera versée aux salariés mensuellement.</w:t>
      </w:r>
    </w:p>
    <w:p w:rsidR="00B81F83" w:rsidRPr="00B81F83" w:rsidRDefault="00B81F83" w:rsidP="00130F35">
      <w:pPr>
        <w:rPr>
          <w:szCs w:val="22"/>
        </w:rPr>
      </w:pPr>
    </w:p>
    <w:p w:rsidR="00B81F83" w:rsidRPr="00B81F83" w:rsidRDefault="00B81F83" w:rsidP="00130F35">
      <w:pPr>
        <w:rPr>
          <w:szCs w:val="22"/>
        </w:rPr>
      </w:pPr>
      <w:r w:rsidRPr="00B81F83">
        <w:rPr>
          <w:szCs w:val="22"/>
        </w:rPr>
        <w:t>L’employeur pourra contrôler les déclarations. Toute déclaration frauduleuse sera sanctionnée selon les dispositions prévues au règlement intérieur de l’entreprise.</w:t>
      </w:r>
    </w:p>
    <w:p w:rsidR="00B81F83" w:rsidRPr="00B81F83" w:rsidRDefault="00B81F83" w:rsidP="00130F35">
      <w:pPr>
        <w:rPr>
          <w:szCs w:val="22"/>
        </w:rPr>
      </w:pPr>
    </w:p>
    <w:p w:rsidR="00B81F83" w:rsidRPr="00B81F83" w:rsidRDefault="00B81F83" w:rsidP="00130F35">
      <w:pPr>
        <w:rPr>
          <w:szCs w:val="22"/>
        </w:rPr>
      </w:pPr>
      <w:r w:rsidRPr="00B81F83">
        <w:rPr>
          <w:szCs w:val="22"/>
        </w:rPr>
        <w:t>La présente décision s’applique à compter de la demande avec effet rétroactif au 1er janvier 2016 conformément à l’article 50 de la loi de transition énergétique.</w:t>
      </w:r>
    </w:p>
    <w:p w:rsidR="00130F35" w:rsidRDefault="00130F35" w:rsidP="00C302E4">
      <w:pPr>
        <w:rPr>
          <w:szCs w:val="22"/>
        </w:rPr>
      </w:pPr>
    </w:p>
    <w:p w:rsidR="00C302E4" w:rsidRPr="00B81F83" w:rsidRDefault="00C302E4" w:rsidP="00C302E4">
      <w:pPr>
        <w:rPr>
          <w:szCs w:val="22"/>
        </w:rPr>
      </w:pPr>
      <w:r w:rsidRPr="00B81F83">
        <w:rPr>
          <w:szCs w:val="22"/>
        </w:rPr>
        <w:t>Compte tenu du fait que certains agents du SDE35 effectuent régulièrement leur trajet domicile/SDE35 en vélo, et afin d’inciter au développement de cette pratique, le comité syndical, après avoir délibéré, décide, à l’unanimité :</w:t>
      </w:r>
    </w:p>
    <w:p w:rsidR="00C302E4" w:rsidRDefault="00C302E4" w:rsidP="00130F35">
      <w:pPr>
        <w:pStyle w:val="Paragraphedeliste"/>
        <w:numPr>
          <w:ilvl w:val="0"/>
          <w:numId w:val="16"/>
        </w:numPr>
      </w:pPr>
      <w:r>
        <w:t>d’accorder aux agents du SDE35 le bénéfice de l’indemnité kilométrique vélo selon les modalités suivantes :</w:t>
      </w:r>
    </w:p>
    <w:p w:rsidR="00C302E4" w:rsidRDefault="00C302E4" w:rsidP="00130F35">
      <w:pPr>
        <w:pStyle w:val="Paragraphedeliste"/>
        <w:numPr>
          <w:ilvl w:val="0"/>
          <w:numId w:val="17"/>
        </w:numPr>
        <w:spacing w:line="240" w:lineRule="auto"/>
        <w:ind w:left="1418" w:hanging="295"/>
      </w:pPr>
      <w:r>
        <w:t>25 centimes par kilomètre, plafonnés à 200 euros par an et par agent.</w:t>
      </w:r>
    </w:p>
    <w:p w:rsidR="009722C3" w:rsidRDefault="00C302E4" w:rsidP="00130F35">
      <w:pPr>
        <w:pStyle w:val="Paragraphedeliste"/>
        <w:numPr>
          <w:ilvl w:val="0"/>
          <w:numId w:val="17"/>
        </w:numPr>
        <w:spacing w:line="240" w:lineRule="auto"/>
        <w:ind w:left="1418" w:hanging="295"/>
      </w:pPr>
      <w:r>
        <w:t>Comme indiqué ci-dessus, les agents devront s’engager à utiliser leur vélo pendant au moins les trois quarts des jours de travail annuels.</w:t>
      </w:r>
    </w:p>
    <w:p w:rsidR="00510E2E" w:rsidRDefault="00C302E4" w:rsidP="00130F35">
      <w:pPr>
        <w:pStyle w:val="Paragraphedeliste"/>
        <w:numPr>
          <w:ilvl w:val="0"/>
          <w:numId w:val="16"/>
        </w:numPr>
        <w:spacing w:line="240" w:lineRule="auto"/>
        <w:rPr>
          <w:rFonts w:ascii="Calibri" w:hAnsi="Calibri"/>
          <w:szCs w:val="22"/>
        </w:rPr>
      </w:pPr>
      <w:r>
        <w:rPr>
          <w:rFonts w:ascii="Calibri" w:hAnsi="Calibri"/>
          <w:szCs w:val="22"/>
        </w:rPr>
        <w:t>d’autoriser le président à signer tous les documents relatifs à cette affaire.</w:t>
      </w:r>
    </w:p>
    <w:p w:rsidR="00125E44" w:rsidRDefault="00125E44" w:rsidP="00CE3E5A">
      <w:pPr>
        <w:rPr>
          <w:rFonts w:ascii="Calibri" w:eastAsia="Times New Roman" w:hAnsi="Calibri"/>
          <w:szCs w:val="22"/>
        </w:rPr>
      </w:pPr>
    </w:p>
    <w:p w:rsidR="00492001" w:rsidRDefault="00492001" w:rsidP="00CE3E5A">
      <w:pPr>
        <w:rPr>
          <w:rFonts w:ascii="Calibri" w:eastAsia="Times New Roman" w:hAnsi="Calibri"/>
          <w:szCs w:val="22"/>
        </w:rPr>
      </w:pPr>
      <w:r>
        <w:rPr>
          <w:rFonts w:ascii="Calibri" w:eastAsia="Times New Roman" w:hAnsi="Calibri"/>
          <w:szCs w:val="22"/>
        </w:rPr>
        <w:t>Par ailleurs, suite à l’intervention de Nadège NOISETTE, préconisant l’installation d’emplacement de parking pour vélo au niveau des locaux du SDE35, il est indiqué que la copropriété du Village des Collectivité sera relancée sur cette question.</w:t>
      </w:r>
    </w:p>
    <w:p w:rsidR="00492001" w:rsidRDefault="00492001" w:rsidP="00CE3E5A">
      <w:pPr>
        <w:rPr>
          <w:rFonts w:ascii="Calibri" w:eastAsia="Times New Roman" w:hAnsi="Calibri"/>
          <w:szCs w:val="22"/>
        </w:rPr>
      </w:pPr>
    </w:p>
    <w:p w:rsidR="00AC51CA" w:rsidRDefault="00AC51CA" w:rsidP="00B2558D">
      <w:pPr>
        <w:rPr>
          <w:rFonts w:ascii="Calibri" w:eastAsia="Times New Roman" w:hAnsi="Calibri"/>
          <w:szCs w:val="22"/>
        </w:rPr>
      </w:pPr>
    </w:p>
    <w:p w:rsidR="007E0BF2" w:rsidRPr="00B2558D" w:rsidRDefault="00234C0D" w:rsidP="00130F35">
      <w:pPr>
        <w:pStyle w:val="Paragraphedeliste"/>
        <w:numPr>
          <w:ilvl w:val="0"/>
          <w:numId w:val="13"/>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234C0D">
        <w:rPr>
          <w:rFonts w:ascii="Venacti Sb" w:hAnsi="Venacti Sb"/>
          <w:color w:val="FFFFFF"/>
          <w:sz w:val="24"/>
        </w:rPr>
        <w:t>Concession – Convention relative à l’intégration dans l’environnement des ouvrages de la concession de distribution publique d’électricité (article 8)</w:t>
      </w:r>
    </w:p>
    <w:p w:rsidR="00F323DC" w:rsidRPr="00A055C0" w:rsidRDefault="00F323DC" w:rsidP="00C932C5">
      <w:pPr>
        <w:pStyle w:val="Paragraphedeliste"/>
        <w:spacing w:line="240" w:lineRule="auto"/>
        <w:ind w:left="0"/>
        <w:rPr>
          <w:sz w:val="16"/>
          <w:szCs w:val="16"/>
        </w:rPr>
      </w:pPr>
    </w:p>
    <w:p w:rsidR="00C302E4" w:rsidRDefault="00C302E4" w:rsidP="00C302E4">
      <w:pPr>
        <w:rPr>
          <w:rFonts w:cs="Calibri"/>
          <w:szCs w:val="22"/>
        </w:rPr>
      </w:pPr>
      <w:r>
        <w:rPr>
          <w:rFonts w:cs="Calibri"/>
          <w:szCs w:val="22"/>
        </w:rPr>
        <w:t>Le montant des dotations allouées par Enedis aux effacements de réseaux au titre de l’article 8 du cahier des charges de concession faisait antérieurement l’objet d’un accord-cadre entre EDF et la FNCCR, dont le dernier couvrait la période de 2007 à 2010.</w:t>
      </w:r>
    </w:p>
    <w:p w:rsidR="00C302E4" w:rsidRDefault="00C302E4" w:rsidP="00C302E4">
      <w:pPr>
        <w:rPr>
          <w:rFonts w:cs="Calibri"/>
          <w:szCs w:val="22"/>
        </w:rPr>
      </w:pPr>
    </w:p>
    <w:p w:rsidR="00C302E4" w:rsidRDefault="00C302E4" w:rsidP="00C302E4">
      <w:pPr>
        <w:rPr>
          <w:rFonts w:cs="Calibri"/>
          <w:szCs w:val="22"/>
        </w:rPr>
      </w:pPr>
      <w:r>
        <w:rPr>
          <w:rFonts w:cs="Calibri"/>
          <w:szCs w:val="22"/>
        </w:rPr>
        <w:t>Cet accord-cadre n’ayant pas été reconduit, depuis 2011 une convention locale annuelle a été signée avec ERDF/Enedis pour définir l’aide financière accordée par le concessionnaire.</w:t>
      </w:r>
    </w:p>
    <w:p w:rsidR="00C302E4" w:rsidRDefault="00C302E4" w:rsidP="00C302E4">
      <w:pPr>
        <w:rPr>
          <w:rFonts w:cs="Calibri"/>
          <w:szCs w:val="22"/>
        </w:rPr>
      </w:pPr>
    </w:p>
    <w:p w:rsidR="00C302E4" w:rsidRDefault="00C302E4" w:rsidP="00C302E4">
      <w:pPr>
        <w:rPr>
          <w:rFonts w:cs="Calibri"/>
          <w:szCs w:val="22"/>
        </w:rPr>
      </w:pPr>
      <w:r>
        <w:rPr>
          <w:rFonts w:cs="Calibri"/>
          <w:szCs w:val="22"/>
        </w:rPr>
        <w:t>Pour les années 2018 et 2019 il est proposé une nouvelle convention entre le SDE35 et Enedis identique à celle de la période 2016 à 2017. Elle précise les modalités de la participation du concessionnaire au financement de travaux sous maitrise d’ouvrage du SDE35 et destinée à l’amélioration esthétique des ouvrages de la concession.</w:t>
      </w:r>
    </w:p>
    <w:p w:rsidR="00C302E4" w:rsidRDefault="00C302E4" w:rsidP="00C302E4">
      <w:pPr>
        <w:rPr>
          <w:rFonts w:cs="Calibri"/>
          <w:szCs w:val="22"/>
        </w:rPr>
      </w:pPr>
    </w:p>
    <w:p w:rsidR="00C302E4" w:rsidRDefault="00C302E4" w:rsidP="00C302E4">
      <w:pPr>
        <w:rPr>
          <w:rFonts w:cs="Calibri"/>
          <w:szCs w:val="22"/>
        </w:rPr>
      </w:pPr>
      <w:r>
        <w:rPr>
          <w:rFonts w:cs="Calibri"/>
          <w:szCs w:val="22"/>
        </w:rPr>
        <w:t>Le concessionnaire participera à hauteur de 40 % du coût hors TVA des travaux. Le montant de la participation financière est fixé à 515 000 € pour les années 2018 et 2019 soit au total 1 030 000 € pour l’ensemble des communes du syndicat à l’exception de la Ville de Rennes qui fait l’objet d’une convention séparée.</w:t>
      </w:r>
    </w:p>
    <w:p w:rsidR="00C302E4" w:rsidRDefault="00C302E4" w:rsidP="00C302E4">
      <w:pPr>
        <w:rPr>
          <w:rFonts w:cs="Calibri"/>
          <w:szCs w:val="22"/>
        </w:rPr>
      </w:pPr>
    </w:p>
    <w:p w:rsidR="00C302E4" w:rsidRDefault="00C302E4" w:rsidP="00C302E4">
      <w:pPr>
        <w:pStyle w:val="Puceorange"/>
        <w:numPr>
          <w:ilvl w:val="0"/>
          <w:numId w:val="0"/>
        </w:numPr>
        <w:spacing w:line="240" w:lineRule="auto"/>
        <w:rPr>
          <w:rFonts w:ascii="Calibri" w:eastAsia="Calibri" w:hAnsi="Calibri" w:cs="Calibri"/>
          <w:iCs w:val="0"/>
          <w:color w:val="auto"/>
          <w:szCs w:val="22"/>
          <w:lang w:val="fr-FR" w:eastAsia="fr-FR"/>
        </w:rPr>
      </w:pPr>
      <w:r>
        <w:rPr>
          <w:rFonts w:ascii="Calibri" w:eastAsia="Calibri" w:hAnsi="Calibri" w:cs="Calibri"/>
          <w:iCs w:val="0"/>
          <w:color w:val="auto"/>
          <w:szCs w:val="22"/>
          <w:lang w:val="fr-FR" w:eastAsia="fr-FR"/>
        </w:rPr>
        <w:t xml:space="preserve">Après délibération, le comité syndical, à l’unanimité décide de se prononcer pour l’approbation des termes de la convention article 8 tels que présentés ci-dessus et autoriser le Président à signer la convention </w:t>
      </w:r>
      <w:r w:rsidR="00492001">
        <w:rPr>
          <w:rFonts w:ascii="Calibri" w:eastAsia="Calibri" w:hAnsi="Calibri" w:cs="Calibri"/>
          <w:iCs w:val="0"/>
          <w:color w:val="auto"/>
          <w:szCs w:val="22"/>
          <w:lang w:val="fr-FR" w:eastAsia="fr-FR"/>
        </w:rPr>
        <w:t xml:space="preserve">jointe en annexe </w:t>
      </w:r>
      <w:r w:rsidR="002D2150">
        <w:rPr>
          <w:rFonts w:ascii="Calibri" w:eastAsia="Calibri" w:hAnsi="Calibri" w:cs="Calibri"/>
          <w:iCs w:val="0"/>
          <w:color w:val="auto"/>
          <w:szCs w:val="22"/>
          <w:lang w:val="fr-FR" w:eastAsia="fr-FR"/>
        </w:rPr>
        <w:t xml:space="preserve">2 </w:t>
      </w:r>
      <w:r w:rsidR="00492001">
        <w:rPr>
          <w:rFonts w:ascii="Calibri" w:eastAsia="Calibri" w:hAnsi="Calibri" w:cs="Calibri"/>
          <w:iCs w:val="0"/>
          <w:color w:val="auto"/>
          <w:szCs w:val="22"/>
          <w:lang w:val="fr-FR" w:eastAsia="fr-FR"/>
        </w:rPr>
        <w:t xml:space="preserve">au présent compte-rendu ainsi que </w:t>
      </w:r>
      <w:r>
        <w:rPr>
          <w:rFonts w:ascii="Calibri" w:eastAsia="Calibri" w:hAnsi="Calibri" w:cs="Calibri"/>
          <w:iCs w:val="0"/>
          <w:color w:val="auto"/>
          <w:szCs w:val="22"/>
          <w:lang w:val="fr-FR" w:eastAsia="fr-FR"/>
        </w:rPr>
        <w:t>tous les documents relatifs à cette affaire.</w:t>
      </w:r>
    </w:p>
    <w:p w:rsidR="00541F74" w:rsidRDefault="00541F74" w:rsidP="00C302E4">
      <w:pPr>
        <w:jc w:val="left"/>
        <w:rPr>
          <w:rFonts w:ascii="Calibri" w:eastAsia="Times New Roman" w:hAnsi="Calibri" w:cs="Calibri"/>
          <w:iCs/>
          <w:szCs w:val="22"/>
          <w:lang w:eastAsia="x-none"/>
        </w:rPr>
      </w:pPr>
    </w:p>
    <w:p w:rsidR="00234C0D" w:rsidRDefault="00234C0D" w:rsidP="00C302E4">
      <w:pPr>
        <w:jc w:val="left"/>
        <w:rPr>
          <w:rFonts w:ascii="Calibri" w:eastAsia="Times New Roman" w:hAnsi="Calibri" w:cs="Calibri"/>
          <w:iCs/>
          <w:szCs w:val="22"/>
          <w:lang w:eastAsia="x-none"/>
        </w:rPr>
      </w:pPr>
    </w:p>
    <w:p w:rsidR="00BF4662" w:rsidRDefault="00BF4662" w:rsidP="00C302E4">
      <w:pPr>
        <w:jc w:val="left"/>
        <w:rPr>
          <w:rFonts w:ascii="Calibri" w:eastAsia="Times New Roman" w:hAnsi="Calibri" w:cs="Calibri"/>
          <w:iCs/>
          <w:szCs w:val="22"/>
          <w:lang w:eastAsia="x-none"/>
        </w:rPr>
      </w:pPr>
    </w:p>
    <w:p w:rsidR="00BF4662" w:rsidRDefault="00BF4662" w:rsidP="00C302E4">
      <w:pPr>
        <w:jc w:val="left"/>
        <w:rPr>
          <w:rFonts w:ascii="Calibri" w:eastAsia="Times New Roman" w:hAnsi="Calibri" w:cs="Calibri"/>
          <w:iCs/>
          <w:szCs w:val="22"/>
          <w:lang w:eastAsia="x-none"/>
        </w:rPr>
      </w:pPr>
    </w:p>
    <w:p w:rsidR="00BF4662" w:rsidRDefault="00BF4662" w:rsidP="00C302E4">
      <w:pPr>
        <w:jc w:val="left"/>
        <w:rPr>
          <w:rFonts w:ascii="Calibri" w:eastAsia="Times New Roman" w:hAnsi="Calibri" w:cs="Calibri"/>
          <w:iCs/>
          <w:szCs w:val="22"/>
          <w:lang w:eastAsia="x-none"/>
        </w:rPr>
      </w:pPr>
    </w:p>
    <w:p w:rsidR="00FB27C6" w:rsidRPr="00C14420" w:rsidRDefault="00234C0D" w:rsidP="002D2150">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234C0D">
        <w:rPr>
          <w:rFonts w:ascii="Venacti Sb" w:hAnsi="Venacti Sb"/>
          <w:color w:val="FFFFFF"/>
          <w:sz w:val="24"/>
        </w:rPr>
        <w:lastRenderedPageBreak/>
        <w:t xml:space="preserve">Concession – Avenant au contrat de concession relatif à l’application du protocole PCT </w:t>
      </w:r>
      <w:r w:rsidR="00F323DC" w:rsidRPr="00C14420">
        <w:rPr>
          <w:rFonts w:ascii="Venacti Sb" w:hAnsi="Venacti Sb"/>
          <w:color w:val="FFFFFF"/>
          <w:sz w:val="24"/>
        </w:rPr>
        <w:t xml:space="preserve"> </w:t>
      </w:r>
    </w:p>
    <w:p w:rsidR="00F323DC" w:rsidRPr="00492001" w:rsidRDefault="00F323DC" w:rsidP="00F323DC">
      <w:pPr>
        <w:rPr>
          <w:rFonts w:ascii="Calibri" w:hAnsi="Calibri"/>
          <w:szCs w:val="22"/>
        </w:rPr>
      </w:pPr>
    </w:p>
    <w:p w:rsidR="00E87D8D" w:rsidRPr="00223C47" w:rsidRDefault="00E87D8D" w:rsidP="00E87D8D">
      <w:pPr>
        <w:rPr>
          <w:rFonts w:cs="Calibri"/>
          <w:szCs w:val="22"/>
        </w:rPr>
      </w:pPr>
      <w:r w:rsidRPr="00223C47">
        <w:rPr>
          <w:rFonts w:cs="Calibri"/>
          <w:szCs w:val="22"/>
        </w:rPr>
        <w:t>Le présent avenant au contrat de concession concerne la mise en œuvre du protocole signé le 26 juin 2009 entre la FNCCR et ERDF, relatif au versement par le concessionnaire aux autorités concédantes maîtres d'ouvrage de travaux de raccordement de la part couverte par le tarif, dit « Protocole PCT ».</w:t>
      </w:r>
    </w:p>
    <w:p w:rsidR="00E87D8D" w:rsidRPr="00223C47" w:rsidRDefault="00E87D8D" w:rsidP="00E87D8D">
      <w:pPr>
        <w:rPr>
          <w:rFonts w:cs="Calibri"/>
          <w:szCs w:val="22"/>
        </w:rPr>
      </w:pPr>
    </w:p>
    <w:p w:rsidR="00E87D8D" w:rsidRPr="00223C47" w:rsidRDefault="00E87D8D" w:rsidP="00E87D8D">
      <w:pPr>
        <w:rPr>
          <w:rFonts w:cs="Calibri"/>
          <w:szCs w:val="22"/>
        </w:rPr>
      </w:pPr>
      <w:r w:rsidRPr="00223C47">
        <w:rPr>
          <w:rFonts w:cs="Calibri"/>
          <w:szCs w:val="22"/>
        </w:rPr>
        <w:t>Un troisième avenant à ce protocole a été signé entre Enedis et la FNCCR en janvier 2017. Celui-ci propose la mise en œuvre de dispositions expérimentales  relatives aux modalités de versement de la PCT.</w:t>
      </w:r>
    </w:p>
    <w:p w:rsidR="00E87D8D" w:rsidRPr="00223C47" w:rsidRDefault="00E87D8D" w:rsidP="00E87D8D">
      <w:pPr>
        <w:rPr>
          <w:rFonts w:cs="Calibri"/>
          <w:szCs w:val="22"/>
        </w:rPr>
      </w:pPr>
    </w:p>
    <w:p w:rsidR="00E87D8D" w:rsidRPr="00223C47" w:rsidRDefault="00E87D8D" w:rsidP="00E87D8D">
      <w:pPr>
        <w:rPr>
          <w:rFonts w:cs="Calibri"/>
          <w:szCs w:val="22"/>
        </w:rPr>
      </w:pPr>
      <w:r w:rsidRPr="00223C47">
        <w:rPr>
          <w:rFonts w:cs="Calibri"/>
          <w:szCs w:val="22"/>
        </w:rPr>
        <w:t>Le présent avenant n°9 au contrat de concession du SDE35 a pour objet l’application de l’avenant national n°</w:t>
      </w:r>
      <w:r>
        <w:rPr>
          <w:rFonts w:cs="Calibri"/>
          <w:szCs w:val="22"/>
        </w:rPr>
        <w:t> </w:t>
      </w:r>
      <w:r w:rsidRPr="00223C47">
        <w:rPr>
          <w:rFonts w:cs="Calibri"/>
          <w:szCs w:val="22"/>
        </w:rPr>
        <w:t>3 jusqu’au 31 décembre 2021.</w:t>
      </w:r>
    </w:p>
    <w:p w:rsidR="00E87D8D" w:rsidRPr="00223C47" w:rsidRDefault="00E87D8D" w:rsidP="00E87D8D">
      <w:pPr>
        <w:rPr>
          <w:rFonts w:cs="Calibri"/>
          <w:szCs w:val="22"/>
        </w:rPr>
      </w:pPr>
      <w:r w:rsidRPr="00223C47">
        <w:rPr>
          <w:rFonts w:cs="Calibri"/>
          <w:szCs w:val="22"/>
        </w:rPr>
        <w:t>De plus, cet avenant n°9 prend en compte plusieurs adaptations locales et notamment l’application d’un avenant au protocole PCT PEBreizh signé le 26 février 2018 qui précise le processus  mis en œuvre par Enedis et les AODE bretonnes pour l’instruction des dossiers  par les AODE et le versement consécutif de la PCT.</w:t>
      </w:r>
    </w:p>
    <w:p w:rsidR="00E87D8D" w:rsidRPr="00223C47" w:rsidRDefault="00E87D8D" w:rsidP="00E87D8D">
      <w:pPr>
        <w:rPr>
          <w:rFonts w:cs="Calibri"/>
          <w:szCs w:val="22"/>
        </w:rPr>
      </w:pPr>
    </w:p>
    <w:p w:rsidR="00E87D8D" w:rsidRPr="00223C47" w:rsidRDefault="00E87D8D" w:rsidP="00E87D8D">
      <w:pPr>
        <w:rPr>
          <w:rFonts w:cs="Calibri"/>
          <w:szCs w:val="22"/>
        </w:rPr>
      </w:pPr>
      <w:r>
        <w:rPr>
          <w:rFonts w:cs="Calibri"/>
          <w:szCs w:val="22"/>
        </w:rPr>
        <w:t xml:space="preserve">Après délibération, à l’unanimité, </w:t>
      </w:r>
      <w:r w:rsidRPr="00223C47">
        <w:rPr>
          <w:rFonts w:cs="Calibri"/>
          <w:szCs w:val="22"/>
        </w:rPr>
        <w:t xml:space="preserve">Comité </w:t>
      </w:r>
      <w:r>
        <w:rPr>
          <w:rFonts w:cs="Calibri"/>
          <w:szCs w:val="22"/>
        </w:rPr>
        <w:t xml:space="preserve">Syndical décide </w:t>
      </w:r>
      <w:r w:rsidRPr="00223C47">
        <w:rPr>
          <w:rFonts w:cs="Calibri"/>
          <w:szCs w:val="22"/>
        </w:rPr>
        <w:t>:</w:t>
      </w:r>
    </w:p>
    <w:p w:rsidR="00E87D8D" w:rsidRPr="000C2D9C" w:rsidRDefault="00E87D8D" w:rsidP="00130F35">
      <w:pPr>
        <w:pStyle w:val="Paragraphedeliste"/>
        <w:numPr>
          <w:ilvl w:val="0"/>
          <w:numId w:val="18"/>
        </w:numPr>
        <w:spacing w:line="240" w:lineRule="auto"/>
        <w:rPr>
          <w:rFonts w:cs="Calibri"/>
          <w:szCs w:val="22"/>
        </w:rPr>
      </w:pPr>
      <w:r w:rsidRPr="000C2D9C">
        <w:rPr>
          <w:rFonts w:cs="Calibri"/>
          <w:szCs w:val="22"/>
        </w:rPr>
        <w:t>d’approuver l</w:t>
      </w:r>
      <w:r>
        <w:rPr>
          <w:rFonts w:cs="Calibri"/>
          <w:szCs w:val="22"/>
        </w:rPr>
        <w:t>’</w:t>
      </w:r>
      <w:r w:rsidRPr="000C2D9C">
        <w:rPr>
          <w:rFonts w:cs="Calibri"/>
          <w:szCs w:val="22"/>
        </w:rPr>
        <w:t>avenant n°9 de prolongation du protocole PCT jusqu’à la fin de l’année 2021</w:t>
      </w:r>
      <w:r>
        <w:rPr>
          <w:rFonts w:cs="Calibri"/>
          <w:szCs w:val="22"/>
        </w:rPr>
        <w:t xml:space="preserve"> (document joint en annexe </w:t>
      </w:r>
      <w:r w:rsidR="002D2150">
        <w:rPr>
          <w:rFonts w:cs="Calibri"/>
          <w:szCs w:val="22"/>
        </w:rPr>
        <w:t xml:space="preserve">3 </w:t>
      </w:r>
      <w:r>
        <w:rPr>
          <w:rFonts w:cs="Calibri"/>
          <w:szCs w:val="22"/>
        </w:rPr>
        <w:t>au présent compte-rendu),</w:t>
      </w:r>
    </w:p>
    <w:p w:rsidR="00E87D8D" w:rsidRPr="000C2D9C" w:rsidRDefault="00E87D8D" w:rsidP="00130F35">
      <w:pPr>
        <w:pStyle w:val="Paragraphedeliste"/>
        <w:numPr>
          <w:ilvl w:val="0"/>
          <w:numId w:val="18"/>
        </w:numPr>
        <w:spacing w:line="240" w:lineRule="auto"/>
        <w:rPr>
          <w:rFonts w:cs="Calibri"/>
          <w:szCs w:val="22"/>
        </w:rPr>
      </w:pPr>
      <w:r w:rsidRPr="000C2D9C">
        <w:rPr>
          <w:rFonts w:cs="Calibri"/>
          <w:szCs w:val="22"/>
        </w:rPr>
        <w:t>d’autoriser le Président à signer le présent avenant sous la réserve susvisée ainsi que tous les documents relatifs à l’affaire.</w:t>
      </w:r>
    </w:p>
    <w:p w:rsidR="00541F74" w:rsidRDefault="00541F74" w:rsidP="00541F74"/>
    <w:p w:rsidR="00234C0D" w:rsidRDefault="00234C0D" w:rsidP="00541F74"/>
    <w:p w:rsidR="00874076" w:rsidRPr="00874076" w:rsidRDefault="00234C0D" w:rsidP="002D2150">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right="-1" w:hanging="502"/>
        <w:rPr>
          <w:rFonts w:ascii="Venacti Sb" w:hAnsi="Venacti Sb"/>
          <w:color w:val="FFFFFF"/>
          <w:sz w:val="24"/>
        </w:rPr>
      </w:pPr>
      <w:r w:rsidRPr="00234C0D">
        <w:rPr>
          <w:rFonts w:ascii="Venacti Sb" w:hAnsi="Venacti Sb"/>
          <w:color w:val="FFFFFF"/>
          <w:sz w:val="24"/>
        </w:rPr>
        <w:t xml:space="preserve">Concession – Retour sur la conférence Loi Nome </w:t>
      </w:r>
    </w:p>
    <w:p w:rsidR="00874076" w:rsidRPr="00E87D8D" w:rsidRDefault="00874076" w:rsidP="00952BDD">
      <w:pPr>
        <w:ind w:right="-1"/>
        <w:rPr>
          <w:rFonts w:ascii="Calibri" w:eastAsia="Times New Roman" w:hAnsi="Calibri"/>
          <w:szCs w:val="22"/>
          <w:lang w:eastAsia="x-none"/>
        </w:rPr>
      </w:pPr>
    </w:p>
    <w:p w:rsidR="00E87D8D" w:rsidRDefault="00E87D8D" w:rsidP="00E87D8D">
      <w:r w:rsidRPr="0008198C">
        <w:t>Le 28  février dernier s’est tenue, sous l’égide du secrétaire général de la préfecture, la 6</w:t>
      </w:r>
      <w:r w:rsidRPr="0008198C">
        <w:rPr>
          <w:vertAlign w:val="superscript"/>
        </w:rPr>
        <w:t>e</w:t>
      </w:r>
      <w:r w:rsidRPr="0008198C">
        <w:t xml:space="preserve"> conférence dite « loi NOME », concernant les investissements du réseau électrique.</w:t>
      </w:r>
    </w:p>
    <w:p w:rsidR="00E87D8D" w:rsidRPr="0008198C" w:rsidRDefault="00E87D8D" w:rsidP="00E87D8D"/>
    <w:p w:rsidR="00E87D8D" w:rsidRDefault="00E87D8D" w:rsidP="00E87D8D">
      <w:r w:rsidRPr="0008198C">
        <w:t xml:space="preserve">Après </w:t>
      </w:r>
      <w:r>
        <w:t>un</w:t>
      </w:r>
      <w:r w:rsidRPr="0008198C">
        <w:t xml:space="preserve"> diagnostic du patrimoine électrique et de la qualité de l’énergie, Enedis et le SDE35 ont présenté une synthèse des travaux de l’année 2016, ainsi que ceux en cours et à venir durant la période 2017-2018.</w:t>
      </w:r>
    </w:p>
    <w:p w:rsidR="00E87D8D" w:rsidRPr="0008198C" w:rsidRDefault="00E87D8D" w:rsidP="00E87D8D"/>
    <w:p w:rsidR="00E87D8D" w:rsidRPr="0008198C" w:rsidRDefault="00E87D8D" w:rsidP="00E87D8D">
      <w:r w:rsidRPr="0008198C">
        <w:t>Ce</w:t>
      </w:r>
      <w:r>
        <w:t>tte conférence était</w:t>
      </w:r>
      <w:r w:rsidRPr="0008198C">
        <w:t xml:space="preserve"> également l’occasion de faire le bilan du Programme Pluriannuel 2014-2017 mis en place par les deux maîtres d’ouvrage et d’évoquer la planification 2018-2022. </w:t>
      </w:r>
      <w:r w:rsidR="00CA14CD">
        <w:t>Une synthèse est jointe au présent compte-rendu</w:t>
      </w:r>
      <w:r>
        <w:t>.</w:t>
      </w:r>
    </w:p>
    <w:p w:rsidR="00952BDD" w:rsidRDefault="00952BDD" w:rsidP="00952BDD">
      <w:pPr>
        <w:ind w:right="-1"/>
        <w:rPr>
          <w:rFonts w:ascii="Calibri" w:eastAsia="Times New Roman" w:hAnsi="Calibri"/>
          <w:lang w:eastAsia="x-none"/>
        </w:rPr>
      </w:pPr>
    </w:p>
    <w:p w:rsidR="002D2150" w:rsidRDefault="002D2150" w:rsidP="00952BDD">
      <w:pPr>
        <w:ind w:right="-1"/>
        <w:rPr>
          <w:rFonts w:ascii="Calibri" w:eastAsia="Times New Roman" w:hAnsi="Calibri"/>
          <w:lang w:eastAsia="x-none"/>
        </w:rPr>
      </w:pPr>
    </w:p>
    <w:p w:rsidR="00C52759" w:rsidRPr="00263F6F" w:rsidRDefault="00234C0D" w:rsidP="002D2150">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right="-1" w:hanging="502"/>
        <w:rPr>
          <w:rFonts w:ascii="Venacti Sb" w:hAnsi="Venacti Sb"/>
          <w:color w:val="FFFFFF"/>
          <w:sz w:val="24"/>
        </w:rPr>
      </w:pPr>
      <w:r w:rsidRPr="00234C0D">
        <w:rPr>
          <w:rFonts w:ascii="Venacti Sb" w:hAnsi="Venacti Sb"/>
          <w:color w:val="FFFFFF"/>
          <w:sz w:val="24"/>
        </w:rPr>
        <w:t>Marchés publics – Etat des lieux des marchés formalisés à lancer en 2018</w:t>
      </w:r>
    </w:p>
    <w:p w:rsidR="00C52759" w:rsidRPr="002D2150" w:rsidRDefault="00C52759" w:rsidP="00E73D5D">
      <w:pPr>
        <w:ind w:right="-1"/>
        <w:rPr>
          <w:rFonts w:ascii="Calibri" w:eastAsia="Times New Roman" w:hAnsi="Calibri"/>
          <w:szCs w:val="22"/>
          <w:lang w:eastAsia="x-none"/>
        </w:rPr>
      </w:pPr>
    </w:p>
    <w:p w:rsidR="002D2150" w:rsidRDefault="002D2150" w:rsidP="002D2150">
      <w:r>
        <w:t xml:space="preserve">Les principaux marchés à bons de commandes de travaux sur les réseaux électriques et d’éclairage public et de maintenance de l’éclairage arrivent à terme le 31 décembre 2018. </w:t>
      </w:r>
    </w:p>
    <w:p w:rsidR="002D2150" w:rsidRDefault="002D2150" w:rsidP="002D2150"/>
    <w:p w:rsidR="002D2150" w:rsidRDefault="002D2150" w:rsidP="002D2150">
      <w:r>
        <w:t>A l’occasion de l’élaboration du projet stratégique, une réflexion a été lancée sur l’organisation de ces marchés et sur les prestations qui en découlent. Un groupe de travail interne « agents » travaille actuellement à la rédaction des dossiers de consultation des entreprises.</w:t>
      </w:r>
    </w:p>
    <w:p w:rsidR="002D2150" w:rsidRDefault="002D2150" w:rsidP="002D2150"/>
    <w:p w:rsidR="002D2150" w:rsidRDefault="004E4530" w:rsidP="002D2150">
      <w:r>
        <w:t xml:space="preserve">Une présentation concernant les marchés à lancer en 2018 est proposée aux membres du comité syndical ainsi que les plannings prévisionnels correspondants : </w:t>
      </w:r>
    </w:p>
    <w:p w:rsidR="006A04D0" w:rsidRDefault="006A04D0" w:rsidP="002D2150"/>
    <w:p w:rsidR="00614A11" w:rsidRPr="006A04D0" w:rsidRDefault="006A04D0" w:rsidP="00614A11">
      <w:pPr>
        <w:rPr>
          <w:b/>
          <w:szCs w:val="22"/>
        </w:rPr>
      </w:pPr>
      <w:r w:rsidRPr="006A04D0">
        <w:rPr>
          <w:b/>
          <w:szCs w:val="22"/>
        </w:rPr>
        <w:t>Marché</w:t>
      </w:r>
      <w:r w:rsidR="004E4530" w:rsidRPr="006A04D0">
        <w:rPr>
          <w:b/>
          <w:szCs w:val="22"/>
        </w:rPr>
        <w:t xml:space="preserve"> de fourniture de matériel d’éclairage public</w:t>
      </w:r>
    </w:p>
    <w:p w:rsidR="003B5D72" w:rsidRDefault="004E4530" w:rsidP="00E73D5D">
      <w:pPr>
        <w:rPr>
          <w:szCs w:val="22"/>
        </w:rPr>
      </w:pPr>
      <w:r>
        <w:rPr>
          <w:szCs w:val="22"/>
        </w:rPr>
        <w:t xml:space="preserve">Lancement de la consultation : </w:t>
      </w:r>
      <w:r w:rsidR="006A04D0">
        <w:rPr>
          <w:szCs w:val="22"/>
        </w:rPr>
        <w:t>F</w:t>
      </w:r>
      <w:r w:rsidR="00F12E1D">
        <w:rPr>
          <w:szCs w:val="22"/>
        </w:rPr>
        <w:t>in mai 2018</w:t>
      </w:r>
    </w:p>
    <w:p w:rsidR="00F12E1D" w:rsidRDefault="00F12E1D" w:rsidP="00E73D5D">
      <w:pPr>
        <w:rPr>
          <w:szCs w:val="22"/>
        </w:rPr>
      </w:pPr>
      <w:r>
        <w:rPr>
          <w:szCs w:val="22"/>
        </w:rPr>
        <w:t>Analyse des offres de l’accord-cadre :</w:t>
      </w:r>
      <w:r w:rsidR="006A04D0">
        <w:rPr>
          <w:szCs w:val="22"/>
        </w:rPr>
        <w:t xml:space="preserve"> D</w:t>
      </w:r>
      <w:r>
        <w:rPr>
          <w:szCs w:val="22"/>
        </w:rPr>
        <w:t>ébut juillet 2018</w:t>
      </w:r>
    </w:p>
    <w:p w:rsidR="006A04D0" w:rsidRDefault="006A04D0" w:rsidP="006A04D0">
      <w:pPr>
        <w:rPr>
          <w:szCs w:val="22"/>
        </w:rPr>
      </w:pPr>
      <w:r w:rsidRPr="006A04D0">
        <w:rPr>
          <w:szCs w:val="22"/>
        </w:rPr>
        <w:t>Commission d’Appel d’Offres</w:t>
      </w:r>
      <w:r>
        <w:rPr>
          <w:szCs w:val="22"/>
        </w:rPr>
        <w:t> : D</w:t>
      </w:r>
      <w:r w:rsidRPr="006A04D0">
        <w:rPr>
          <w:szCs w:val="22"/>
        </w:rPr>
        <w:t>ébut septembre 2018</w:t>
      </w:r>
    </w:p>
    <w:p w:rsidR="006A04D0" w:rsidRPr="006A04D0" w:rsidRDefault="006A04D0" w:rsidP="006A04D0">
      <w:pPr>
        <w:rPr>
          <w:szCs w:val="22"/>
        </w:rPr>
      </w:pPr>
      <w:r w:rsidRPr="006A04D0">
        <w:rPr>
          <w:szCs w:val="22"/>
        </w:rPr>
        <w:lastRenderedPageBreak/>
        <w:t>Choix des titulaires pour les luminaires et mâts de l’année 2019</w:t>
      </w:r>
      <w:r>
        <w:rPr>
          <w:szCs w:val="22"/>
        </w:rPr>
        <w:t> : Octobre 2018</w:t>
      </w:r>
    </w:p>
    <w:p w:rsidR="006A04D0" w:rsidRDefault="006A04D0" w:rsidP="006A04D0">
      <w:pPr>
        <w:rPr>
          <w:szCs w:val="22"/>
        </w:rPr>
      </w:pPr>
    </w:p>
    <w:p w:rsidR="006A04D0" w:rsidRPr="006A04D0" w:rsidRDefault="006A04D0" w:rsidP="006A04D0">
      <w:pPr>
        <w:rPr>
          <w:b/>
          <w:szCs w:val="22"/>
        </w:rPr>
      </w:pPr>
      <w:r w:rsidRPr="006A04D0">
        <w:rPr>
          <w:b/>
          <w:szCs w:val="22"/>
        </w:rPr>
        <w:t>Marché Travaux et Maintenance d’éclairage public</w:t>
      </w:r>
    </w:p>
    <w:p w:rsidR="006A04D0" w:rsidRDefault="006A04D0" w:rsidP="006A04D0">
      <w:pPr>
        <w:rPr>
          <w:szCs w:val="22"/>
        </w:rPr>
      </w:pPr>
      <w:r>
        <w:rPr>
          <w:szCs w:val="22"/>
        </w:rPr>
        <w:t>Lancement de la consultation : Fin juin 2018</w:t>
      </w:r>
    </w:p>
    <w:p w:rsidR="006A04D0" w:rsidRDefault="006A04D0" w:rsidP="006A04D0">
      <w:pPr>
        <w:rPr>
          <w:szCs w:val="22"/>
        </w:rPr>
      </w:pPr>
      <w:r>
        <w:rPr>
          <w:szCs w:val="22"/>
        </w:rPr>
        <w:t>Analyse des offres de l’accord-cadre : Début septembre 2018</w:t>
      </w:r>
    </w:p>
    <w:p w:rsidR="006A04D0" w:rsidRDefault="006A04D0" w:rsidP="006A04D0">
      <w:pPr>
        <w:rPr>
          <w:szCs w:val="22"/>
        </w:rPr>
      </w:pPr>
      <w:r>
        <w:rPr>
          <w:szCs w:val="22"/>
        </w:rPr>
        <w:t>Commission d’Appel d’Offres : Fin octobre 2018</w:t>
      </w:r>
    </w:p>
    <w:p w:rsidR="006A04D0" w:rsidRDefault="006A04D0" w:rsidP="006A04D0">
      <w:pPr>
        <w:rPr>
          <w:szCs w:val="22"/>
        </w:rPr>
      </w:pPr>
      <w:r>
        <w:rPr>
          <w:szCs w:val="22"/>
        </w:rPr>
        <w:t>Début du marché 2019/2022 : Janvier 2019</w:t>
      </w:r>
    </w:p>
    <w:p w:rsidR="006A04D0" w:rsidRDefault="006A04D0" w:rsidP="006A04D0">
      <w:pPr>
        <w:rPr>
          <w:szCs w:val="22"/>
        </w:rPr>
      </w:pPr>
    </w:p>
    <w:p w:rsidR="006A04D0" w:rsidRPr="006A04D0" w:rsidRDefault="006A04D0" w:rsidP="006A04D0">
      <w:pPr>
        <w:rPr>
          <w:b/>
          <w:szCs w:val="22"/>
          <w:u w:val="single"/>
        </w:rPr>
      </w:pPr>
      <w:r w:rsidRPr="006A04D0">
        <w:rPr>
          <w:b/>
          <w:szCs w:val="22"/>
          <w:u w:val="single"/>
        </w:rPr>
        <w:t>Marché de travaux sur le réseau électrique</w:t>
      </w:r>
    </w:p>
    <w:p w:rsidR="006A04D0" w:rsidRDefault="006A04D0" w:rsidP="006A04D0">
      <w:pPr>
        <w:rPr>
          <w:szCs w:val="22"/>
        </w:rPr>
      </w:pPr>
      <w:r>
        <w:rPr>
          <w:szCs w:val="22"/>
        </w:rPr>
        <w:t>Lancement de la consultation : Début septembre 2018</w:t>
      </w:r>
    </w:p>
    <w:p w:rsidR="006A04D0" w:rsidRDefault="006A04D0" w:rsidP="006A04D0">
      <w:pPr>
        <w:rPr>
          <w:szCs w:val="22"/>
        </w:rPr>
      </w:pPr>
      <w:r>
        <w:rPr>
          <w:szCs w:val="22"/>
        </w:rPr>
        <w:t>Analyse des offres de l’accord-cadre : Début novembre 2018</w:t>
      </w:r>
    </w:p>
    <w:p w:rsidR="006A04D0" w:rsidRDefault="006A04D0" w:rsidP="006A04D0">
      <w:pPr>
        <w:rPr>
          <w:szCs w:val="22"/>
        </w:rPr>
      </w:pPr>
      <w:r>
        <w:rPr>
          <w:szCs w:val="22"/>
        </w:rPr>
        <w:t>Commission d’Appel d’Offres : Début décembre 2018</w:t>
      </w:r>
    </w:p>
    <w:p w:rsidR="006A04D0" w:rsidRDefault="006A04D0" w:rsidP="006A04D0">
      <w:pPr>
        <w:rPr>
          <w:szCs w:val="22"/>
        </w:rPr>
      </w:pPr>
      <w:r>
        <w:rPr>
          <w:szCs w:val="22"/>
        </w:rPr>
        <w:t>Début du marché 2019/2022 : Mars 2019</w:t>
      </w:r>
    </w:p>
    <w:p w:rsidR="006A04D0" w:rsidRDefault="006A04D0" w:rsidP="006A04D0">
      <w:pPr>
        <w:rPr>
          <w:szCs w:val="22"/>
        </w:rPr>
      </w:pPr>
    </w:p>
    <w:p w:rsidR="006A04D0" w:rsidRDefault="00FC038D" w:rsidP="006A04D0">
      <w:pPr>
        <w:rPr>
          <w:szCs w:val="22"/>
        </w:rPr>
      </w:pPr>
      <w:r>
        <w:rPr>
          <w:szCs w:val="22"/>
        </w:rPr>
        <w:t>Après avoir pris connaissance des planning</w:t>
      </w:r>
      <w:r w:rsidR="00130F35">
        <w:rPr>
          <w:szCs w:val="22"/>
        </w:rPr>
        <w:t>s</w:t>
      </w:r>
      <w:r>
        <w:rPr>
          <w:szCs w:val="22"/>
        </w:rPr>
        <w:t xml:space="preserve"> prévisionnels proposés</w:t>
      </w:r>
      <w:r w:rsidR="00130F35">
        <w:rPr>
          <w:szCs w:val="22"/>
        </w:rPr>
        <w:t>,</w:t>
      </w:r>
      <w:r>
        <w:rPr>
          <w:szCs w:val="22"/>
        </w:rPr>
        <w:t xml:space="preserve"> </w:t>
      </w:r>
      <w:r w:rsidR="00CE480A">
        <w:rPr>
          <w:szCs w:val="22"/>
        </w:rPr>
        <w:t xml:space="preserve">et échangé sur les modalités proposées, </w:t>
      </w:r>
      <w:r>
        <w:rPr>
          <w:szCs w:val="22"/>
        </w:rPr>
        <w:t>le comité prend acte d</w:t>
      </w:r>
      <w:r w:rsidR="00130F35">
        <w:rPr>
          <w:szCs w:val="22"/>
        </w:rPr>
        <w:t>es procédures de lancement des marchés pour 2018 tel que présenté</w:t>
      </w:r>
      <w:r w:rsidR="00CA14CD">
        <w:rPr>
          <w:szCs w:val="22"/>
        </w:rPr>
        <w:t>es</w:t>
      </w:r>
      <w:r w:rsidR="00130F35">
        <w:rPr>
          <w:szCs w:val="22"/>
        </w:rPr>
        <w:t xml:space="preserve"> en séance.</w:t>
      </w:r>
    </w:p>
    <w:p w:rsidR="00FC038D" w:rsidRDefault="00FC038D" w:rsidP="006A04D0">
      <w:pPr>
        <w:rPr>
          <w:szCs w:val="22"/>
        </w:rPr>
      </w:pPr>
    </w:p>
    <w:p w:rsidR="00FC038D" w:rsidRPr="006A04D0" w:rsidRDefault="00FC038D" w:rsidP="006A04D0">
      <w:pPr>
        <w:rPr>
          <w:szCs w:val="22"/>
        </w:rPr>
      </w:pPr>
    </w:p>
    <w:p w:rsidR="000D546F" w:rsidRPr="00263F6F" w:rsidRDefault="00234C0D" w:rsidP="00FC038D">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right="-1" w:hanging="502"/>
        <w:rPr>
          <w:rFonts w:ascii="Venacti Sb" w:hAnsi="Venacti Sb"/>
          <w:color w:val="FFFFFF"/>
          <w:sz w:val="24"/>
        </w:rPr>
      </w:pPr>
      <w:r w:rsidRPr="00234C0D">
        <w:rPr>
          <w:rFonts w:ascii="Venacti Sb" w:hAnsi="Venacti Sb"/>
          <w:color w:val="FFFFFF"/>
          <w:sz w:val="24"/>
        </w:rPr>
        <w:t>Marchés publics – Accord-cadre d’achat de matériel d’éclairage public</w:t>
      </w:r>
    </w:p>
    <w:p w:rsidR="000D546F" w:rsidRPr="00A055C0" w:rsidRDefault="000D546F" w:rsidP="000D546F">
      <w:pPr>
        <w:rPr>
          <w:sz w:val="16"/>
          <w:szCs w:val="16"/>
        </w:rPr>
      </w:pPr>
    </w:p>
    <w:p w:rsidR="00FC038D" w:rsidRDefault="00FC038D" w:rsidP="00FC038D">
      <w:r>
        <w:t xml:space="preserve">Dans le cadre des travaux sur les infrastructures d’éclairage public, le SDE35 achète du matériel : luminaires, mats, candélabres autonomes, illuminations, éclairages sportifs ainsi que des accessoires (horloges, capteurs…). </w:t>
      </w:r>
    </w:p>
    <w:p w:rsidR="00FC038D" w:rsidRDefault="00FC038D" w:rsidP="00FC038D"/>
    <w:p w:rsidR="00FC038D" w:rsidRDefault="00FC038D" w:rsidP="00FC038D">
      <w:r>
        <w:t>Aujourd’hui, le SDE35 consulte une quinzaine de fournisseurs au début de chaque année pour obtenir des prix unitaire par matériel. Sur la base des prix remis, ce sont les entreprises retenues dans le cadre des marchés de travaux qui réalisent les commandes, gèrent les livraisons… et les contacts avec les fournisseurs. Pour cette prestation, les entreprises de travaux sont rémunérées par un forfait correspondant à 15% du montant HT de la commande de fourniture.</w:t>
      </w:r>
    </w:p>
    <w:p w:rsidR="00FC038D" w:rsidRDefault="00FC038D" w:rsidP="00FC038D"/>
    <w:p w:rsidR="00FC038D" w:rsidRDefault="00FC038D" w:rsidP="00FC038D">
      <w:r>
        <w:t>Ce fonctionnement a été réinterrogé pour répondre à plusieurs objectifs :</w:t>
      </w:r>
    </w:p>
    <w:p w:rsidR="00FC038D" w:rsidRDefault="00FC038D" w:rsidP="00130F35">
      <w:pPr>
        <w:pStyle w:val="Paragraphedeliste"/>
        <w:numPr>
          <w:ilvl w:val="0"/>
          <w:numId w:val="23"/>
        </w:numPr>
        <w:spacing w:line="240" w:lineRule="auto"/>
      </w:pPr>
      <w:r>
        <w:t xml:space="preserve">Replacer le SDE35 dans son rôle de maître d’ouvrage/acheteur, </w:t>
      </w:r>
    </w:p>
    <w:p w:rsidR="00FC038D" w:rsidRDefault="00FC038D" w:rsidP="00130F35">
      <w:pPr>
        <w:pStyle w:val="Paragraphedeliste"/>
        <w:numPr>
          <w:ilvl w:val="0"/>
          <w:numId w:val="23"/>
        </w:numPr>
        <w:spacing w:line="240" w:lineRule="auto"/>
      </w:pPr>
      <w:r>
        <w:t>Formaliser l’achat du matériel compte-tenu du montant annuel en jeu : environ 1,5 million d’euro.</w:t>
      </w:r>
    </w:p>
    <w:p w:rsidR="00FC038D" w:rsidRDefault="00FC038D" w:rsidP="00130F35">
      <w:pPr>
        <w:pStyle w:val="Paragraphedeliste"/>
        <w:numPr>
          <w:ilvl w:val="0"/>
          <w:numId w:val="23"/>
        </w:numPr>
        <w:spacing w:line="240" w:lineRule="auto"/>
      </w:pPr>
      <w:r>
        <w:t>Optimiser les coûts d’achat et maîtriser les délais de livraison du matériel,</w:t>
      </w:r>
    </w:p>
    <w:p w:rsidR="00FC038D" w:rsidRDefault="00FC038D" w:rsidP="00130F35">
      <w:pPr>
        <w:pStyle w:val="Paragraphedeliste"/>
        <w:numPr>
          <w:ilvl w:val="0"/>
          <w:numId w:val="23"/>
        </w:numPr>
        <w:spacing w:line="240" w:lineRule="auto"/>
      </w:pPr>
      <w:r>
        <w:t>Maintenir une large gamme de choix pour les communes,</w:t>
      </w:r>
    </w:p>
    <w:p w:rsidR="00FC038D" w:rsidRDefault="00FC038D" w:rsidP="00130F35">
      <w:pPr>
        <w:pStyle w:val="Paragraphedeliste"/>
        <w:numPr>
          <w:ilvl w:val="0"/>
          <w:numId w:val="23"/>
        </w:numPr>
        <w:spacing w:line="240" w:lineRule="auto"/>
      </w:pPr>
      <w:r>
        <w:t>Améliorer la gestion quotidienne.</w:t>
      </w:r>
    </w:p>
    <w:p w:rsidR="00FC038D" w:rsidRDefault="00FC038D" w:rsidP="00FC038D"/>
    <w:p w:rsidR="00FC038D" w:rsidRDefault="00FC038D" w:rsidP="00FC038D">
      <w:r>
        <w:t xml:space="preserve">Il est proposé au Comité de valider le lancement d’un accord-cadre de 4 ans pour la commande de fournitures de matériel d’éclairage public pour toutes les opérations d’éclairage et d’effacements de réseaux. Le marché sera alloti sur la base des typologies d’achat. </w:t>
      </w:r>
    </w:p>
    <w:p w:rsidR="00FC038D" w:rsidRDefault="00FC038D" w:rsidP="00FC038D"/>
    <w:p w:rsidR="00FC038D" w:rsidRDefault="00FC038D" w:rsidP="00FC038D">
      <w:r>
        <w:t>Les marchés subséquents, en fonction des lots, seront :</w:t>
      </w:r>
    </w:p>
    <w:p w:rsidR="00FC038D" w:rsidRDefault="00FC038D" w:rsidP="00130F35">
      <w:pPr>
        <w:pStyle w:val="Paragraphedeliste"/>
        <w:numPr>
          <w:ilvl w:val="0"/>
          <w:numId w:val="23"/>
        </w:numPr>
        <w:spacing w:line="240" w:lineRule="auto"/>
      </w:pPr>
      <w:r>
        <w:t>soit des marchés périodiques (1 an) avec plusieurs attributaires</w:t>
      </w:r>
    </w:p>
    <w:p w:rsidR="00FC038D" w:rsidRDefault="00FC038D" w:rsidP="00130F35">
      <w:pPr>
        <w:pStyle w:val="Paragraphedeliste"/>
        <w:numPr>
          <w:ilvl w:val="0"/>
          <w:numId w:val="23"/>
        </w:numPr>
        <w:spacing w:line="240" w:lineRule="auto"/>
      </w:pPr>
      <w:r>
        <w:t>soit des marchés contractés à chaque besoin (mâts autonomes, éclairages sportifs, illuminations…)</w:t>
      </w:r>
    </w:p>
    <w:p w:rsidR="00FC038D" w:rsidRDefault="00FC038D" w:rsidP="00FC038D"/>
    <w:p w:rsidR="00FC038D" w:rsidRDefault="00FC038D" w:rsidP="00FC038D">
      <w:r>
        <w:t>Après délibération, le comité syndical, à l’unanimité décide  :</w:t>
      </w:r>
    </w:p>
    <w:p w:rsidR="00FC038D" w:rsidRDefault="00FC038D" w:rsidP="00130F35">
      <w:pPr>
        <w:pStyle w:val="Paragraphedeliste"/>
        <w:numPr>
          <w:ilvl w:val="0"/>
          <w:numId w:val="23"/>
        </w:numPr>
        <w:spacing w:line="240" w:lineRule="auto"/>
      </w:pPr>
      <w:r>
        <w:t>d’autoriser le bureau à valider le dossier de consultation des entreprises,</w:t>
      </w:r>
    </w:p>
    <w:p w:rsidR="00FC038D" w:rsidRDefault="00FC038D" w:rsidP="00130F35">
      <w:pPr>
        <w:pStyle w:val="Paragraphedeliste"/>
        <w:numPr>
          <w:ilvl w:val="0"/>
          <w:numId w:val="23"/>
        </w:numPr>
        <w:spacing w:line="240" w:lineRule="auto"/>
      </w:pPr>
      <w:r>
        <w:t xml:space="preserve">d’autoriser le président à lancer la consultation et </w:t>
      </w:r>
      <w:r w:rsidR="00CA14CD">
        <w:t xml:space="preserve">à </w:t>
      </w:r>
      <w:r>
        <w:t>signer les marchés</w:t>
      </w:r>
      <w:r w:rsidR="00CA14CD">
        <w:t xml:space="preserve"> et les avenants après accord de la Commission d’Appel d’Ofre</w:t>
      </w:r>
      <w:r>
        <w:t>,</w:t>
      </w:r>
    </w:p>
    <w:p w:rsidR="00FC038D" w:rsidRDefault="00FC038D" w:rsidP="00130F35">
      <w:pPr>
        <w:pStyle w:val="Paragraphedeliste"/>
        <w:numPr>
          <w:ilvl w:val="0"/>
          <w:numId w:val="23"/>
        </w:numPr>
        <w:spacing w:line="240" w:lineRule="auto"/>
      </w:pPr>
      <w:r>
        <w:t>d’autoriser le président à signer l’ensemble des pièces relatives à cette affaire.</w:t>
      </w:r>
    </w:p>
    <w:p w:rsidR="002B678C" w:rsidRDefault="002B678C" w:rsidP="00FC038D">
      <w:pPr>
        <w:pStyle w:val="Paragraphedeliste"/>
        <w:spacing w:line="240" w:lineRule="auto"/>
      </w:pPr>
    </w:p>
    <w:p w:rsidR="00CA0CD5" w:rsidRDefault="00CA0CD5" w:rsidP="00E73D5D">
      <w:pPr>
        <w:pStyle w:val="Paragraphedeliste"/>
        <w:spacing w:line="240" w:lineRule="auto"/>
        <w:ind w:left="502"/>
      </w:pPr>
    </w:p>
    <w:p w:rsidR="00FB27C6" w:rsidRPr="00FB27C6" w:rsidRDefault="00FB27C6" w:rsidP="00FF30A8">
      <w:pPr>
        <w:pStyle w:val="Paragraphedeliste"/>
        <w:numPr>
          <w:ilvl w:val="0"/>
          <w:numId w:val="10"/>
        </w:numPr>
        <w:pBdr>
          <w:top w:val="single" w:sz="4" w:space="0" w:color="808080"/>
          <w:left w:val="single" w:sz="4" w:space="0" w:color="808080"/>
          <w:bottom w:val="single" w:sz="4" w:space="1" w:color="808080"/>
          <w:right w:val="single" w:sz="4" w:space="4" w:color="808080"/>
        </w:pBdr>
        <w:shd w:val="clear" w:color="auto" w:fill="595959"/>
        <w:ind w:left="426" w:right="-1" w:hanging="426"/>
        <w:rPr>
          <w:rFonts w:ascii="Venacti Sb" w:hAnsi="Venacti Sb"/>
          <w:color w:val="FFFFFF"/>
          <w:sz w:val="24"/>
        </w:rPr>
      </w:pPr>
      <w:r w:rsidRPr="00FB27C6">
        <w:rPr>
          <w:rFonts w:ascii="Venacti Sb" w:hAnsi="Venacti Sb"/>
          <w:color w:val="FFFFFF"/>
          <w:sz w:val="24"/>
        </w:rPr>
        <w:lastRenderedPageBreak/>
        <w:t xml:space="preserve">Information des attributions exercées par le bureau par délégation du comité </w:t>
      </w:r>
    </w:p>
    <w:p w:rsidR="00FB27C6" w:rsidRPr="00A055C0" w:rsidRDefault="00FB27C6" w:rsidP="00A055C0">
      <w:pPr>
        <w:ind w:firstLine="708"/>
        <w:rPr>
          <w:rFonts w:ascii="Calibri" w:hAnsi="Calibri"/>
          <w:sz w:val="16"/>
          <w:szCs w:val="16"/>
        </w:rPr>
      </w:pPr>
    </w:p>
    <w:p w:rsidR="00FF30A8" w:rsidRPr="00513C70" w:rsidRDefault="00FF30A8" w:rsidP="00FF30A8">
      <w:pPr>
        <w:rPr>
          <w:szCs w:val="22"/>
        </w:rPr>
      </w:pPr>
      <w:r w:rsidRPr="00513C70">
        <w:rPr>
          <w:szCs w:val="22"/>
        </w:rPr>
        <w:t>Le Comité a délégué au bureau certaines de ses attributions. Conformément à l’article L. 5211-10 du Code Général des Collectivités Territoriales, le président rend compte des travaux et des attributions du bureau exercées par délégation de l’organe délibérant.</w:t>
      </w:r>
    </w:p>
    <w:p w:rsidR="00FF30A8" w:rsidRPr="001641B8" w:rsidRDefault="00FF30A8" w:rsidP="00FF30A8">
      <w:pPr>
        <w:pStyle w:val="Paragraphedeliste"/>
        <w:numPr>
          <w:ilvl w:val="0"/>
          <w:numId w:val="11"/>
        </w:numPr>
        <w:spacing w:line="240" w:lineRule="auto"/>
        <w:rPr>
          <w:szCs w:val="22"/>
        </w:rPr>
      </w:pPr>
      <w:r w:rsidRPr="00B47B9C">
        <w:rPr>
          <w:rFonts w:ascii="Calibri" w:hAnsi="Calibri"/>
          <w:szCs w:val="22"/>
          <w:u w:val="single"/>
        </w:rPr>
        <w:t>Attribution de subventions diverses pour travaux</w:t>
      </w:r>
      <w:r w:rsidRPr="00B47B9C">
        <w:rPr>
          <w:rFonts w:ascii="Calibri" w:hAnsi="Calibri"/>
          <w:szCs w:val="22"/>
        </w:rPr>
        <w:t xml:space="preserve"> </w:t>
      </w:r>
      <w:r>
        <w:rPr>
          <w:rFonts w:ascii="Calibri" w:hAnsi="Calibri"/>
          <w:szCs w:val="22"/>
        </w:rPr>
        <w:t>–</w:t>
      </w:r>
      <w:r w:rsidRPr="00B47B9C">
        <w:rPr>
          <w:rFonts w:ascii="Calibri" w:hAnsi="Calibri"/>
          <w:szCs w:val="22"/>
        </w:rPr>
        <w:t xml:space="preserve"> </w:t>
      </w:r>
      <w:r>
        <w:rPr>
          <w:rFonts w:ascii="Calibri" w:hAnsi="Calibri"/>
          <w:szCs w:val="22"/>
        </w:rPr>
        <w:t xml:space="preserve">(Bureau du </w:t>
      </w:r>
      <w:r w:rsidR="00234C0D">
        <w:rPr>
          <w:rFonts w:ascii="Calibri" w:hAnsi="Calibri"/>
          <w:szCs w:val="22"/>
        </w:rPr>
        <w:t>27/02</w:t>
      </w:r>
      <w:r>
        <w:rPr>
          <w:rFonts w:ascii="Calibri" w:hAnsi="Calibri"/>
          <w:szCs w:val="22"/>
        </w:rPr>
        <w:t>/2018) :</w:t>
      </w:r>
    </w:p>
    <w:p w:rsidR="00FF30A8" w:rsidRPr="001641B8" w:rsidRDefault="00FF30A8" w:rsidP="00FF30A8">
      <w:pPr>
        <w:ind w:left="360"/>
        <w:rPr>
          <w:szCs w:val="22"/>
        </w:rPr>
      </w:pPr>
    </w:p>
    <w:p w:rsidR="00130F35" w:rsidRDefault="00130F35" w:rsidP="00FF30A8">
      <w:pPr>
        <w:pStyle w:val="Paragraphedeliste"/>
        <w:tabs>
          <w:tab w:val="left" w:pos="-5103"/>
        </w:tabs>
        <w:spacing w:line="240" w:lineRule="auto"/>
        <w:ind w:left="0"/>
        <w:rPr>
          <w:szCs w:val="22"/>
        </w:rPr>
      </w:pPr>
    </w:p>
    <w:p w:rsidR="00E03E56" w:rsidRPr="00E03E56" w:rsidRDefault="00E03E56" w:rsidP="00FF30A8">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left="426" w:right="-1" w:hanging="426"/>
        <w:rPr>
          <w:rFonts w:ascii="Venacti Sb" w:hAnsi="Venacti Sb"/>
          <w:color w:val="FFFFFF"/>
          <w:sz w:val="24"/>
        </w:rPr>
      </w:pPr>
      <w:r w:rsidRPr="00E03E56">
        <w:rPr>
          <w:rFonts w:ascii="Venacti Sb" w:hAnsi="Venacti Sb"/>
          <w:color w:val="FFFFFF"/>
          <w:sz w:val="24"/>
        </w:rPr>
        <w:t>Information des attributions exercées par le président par délégation du comité</w:t>
      </w:r>
    </w:p>
    <w:p w:rsidR="00E03E56" w:rsidRPr="00A055C0" w:rsidRDefault="00E03E56" w:rsidP="00A055C0">
      <w:pPr>
        <w:ind w:firstLine="708"/>
        <w:rPr>
          <w:rFonts w:ascii="Calibri" w:hAnsi="Calibri"/>
          <w:sz w:val="16"/>
          <w:szCs w:val="16"/>
        </w:rPr>
      </w:pPr>
    </w:p>
    <w:p w:rsidR="00FF30A8" w:rsidRDefault="00FF30A8" w:rsidP="00FF30A8">
      <w:pPr>
        <w:rPr>
          <w:szCs w:val="22"/>
        </w:rPr>
      </w:pPr>
      <w:r w:rsidRPr="00513C70">
        <w:rPr>
          <w:szCs w:val="22"/>
        </w:rPr>
        <w:t>Le Comité a délégué au Président certaines de ses attributions. Conformément à l’article L. 5211-10 du Code Général des Collectivités Territoriales, le président rend compte des attributions exercées par délégation de l’organe délibérant.</w:t>
      </w:r>
    </w:p>
    <w:p w:rsidR="00FF30A8" w:rsidRDefault="00FF30A8" w:rsidP="00FF30A8">
      <w:pPr>
        <w:rPr>
          <w:szCs w:val="22"/>
        </w:rPr>
      </w:pPr>
    </w:p>
    <w:p w:rsidR="00FF30A8" w:rsidRPr="00ED5D43" w:rsidRDefault="00FF30A8" w:rsidP="00FF30A8">
      <w:pPr>
        <w:pStyle w:val="Paragraphedeliste"/>
        <w:numPr>
          <w:ilvl w:val="0"/>
          <w:numId w:val="12"/>
        </w:numPr>
        <w:tabs>
          <w:tab w:val="left" w:pos="-5103"/>
        </w:tabs>
        <w:spacing w:line="240" w:lineRule="auto"/>
        <w:rPr>
          <w:szCs w:val="22"/>
          <w:u w:val="single"/>
        </w:rPr>
      </w:pPr>
      <w:r w:rsidRPr="00ED5D43">
        <w:rPr>
          <w:szCs w:val="22"/>
          <w:u w:val="single"/>
        </w:rPr>
        <w:t>Achats inférieurs à 2 000 €</w:t>
      </w:r>
    </w:p>
    <w:p w:rsidR="00FF30A8" w:rsidRDefault="00FF30A8" w:rsidP="00FF30A8">
      <w:pPr>
        <w:tabs>
          <w:tab w:val="left" w:pos="-5103"/>
        </w:tabs>
        <w:rPr>
          <w:szCs w:val="22"/>
        </w:rPr>
      </w:pPr>
      <w:r w:rsidRPr="00ED5D43">
        <w:rPr>
          <w:szCs w:val="22"/>
        </w:rPr>
        <w:t>La liste détaillée des achats inférieurs à 2 000 € est consultable sur demande aux services du SDE35.</w:t>
      </w:r>
    </w:p>
    <w:p w:rsidR="00FF30A8" w:rsidRPr="00ED5D43" w:rsidRDefault="00FF30A8" w:rsidP="00FF30A8">
      <w:pPr>
        <w:tabs>
          <w:tab w:val="left" w:pos="-5103"/>
        </w:tabs>
        <w:rPr>
          <w:szCs w:val="22"/>
        </w:rPr>
      </w:pPr>
    </w:p>
    <w:p w:rsidR="00FF30A8" w:rsidRDefault="00FF30A8" w:rsidP="00FF30A8">
      <w:pPr>
        <w:pStyle w:val="Paragraphedeliste"/>
        <w:numPr>
          <w:ilvl w:val="0"/>
          <w:numId w:val="12"/>
        </w:numPr>
        <w:tabs>
          <w:tab w:val="left" w:pos="-5103"/>
        </w:tabs>
        <w:spacing w:line="240" w:lineRule="auto"/>
        <w:rPr>
          <w:szCs w:val="22"/>
          <w:u w:val="single"/>
        </w:rPr>
      </w:pPr>
      <w:r w:rsidRPr="00A41A48">
        <w:rPr>
          <w:szCs w:val="22"/>
          <w:u w:val="single"/>
        </w:rPr>
        <w:t>Achats supérieurs à 2 000 €</w:t>
      </w:r>
    </w:p>
    <w:p w:rsidR="00FF30A8" w:rsidRDefault="00FF30A8" w:rsidP="00FF30A8">
      <w:pPr>
        <w:tabs>
          <w:tab w:val="left" w:pos="-5103"/>
        </w:tabs>
        <w:rPr>
          <w:szCs w:val="22"/>
          <w:u w:val="single"/>
        </w:rPr>
      </w:pPr>
    </w:p>
    <w:tbl>
      <w:tblPr>
        <w:tblStyle w:val="Grilledutableau"/>
        <w:tblW w:w="0" w:type="auto"/>
        <w:tblBorders>
          <w:top w:val="single" w:sz="4" w:space="0" w:color="8A8B8D" w:themeColor="text2"/>
          <w:left w:val="single" w:sz="4" w:space="0" w:color="8A8B8D" w:themeColor="text2"/>
          <w:bottom w:val="single" w:sz="4" w:space="0" w:color="8A8B8D" w:themeColor="text2"/>
          <w:right w:val="single" w:sz="4" w:space="0" w:color="8A8B8D" w:themeColor="text2"/>
          <w:insideH w:val="single" w:sz="4" w:space="0" w:color="8A8B8D" w:themeColor="text2"/>
          <w:insideV w:val="single" w:sz="4" w:space="0" w:color="8A8B8D" w:themeColor="text2"/>
        </w:tblBorders>
        <w:tblLook w:val="04A0" w:firstRow="1" w:lastRow="0" w:firstColumn="1" w:lastColumn="0" w:noHBand="0" w:noVBand="1"/>
      </w:tblPr>
      <w:tblGrid>
        <w:gridCol w:w="1384"/>
        <w:gridCol w:w="2693"/>
        <w:gridCol w:w="3828"/>
        <w:gridCol w:w="1417"/>
      </w:tblGrid>
      <w:tr w:rsidR="00234C0D" w:rsidRPr="00D13AF9" w:rsidTr="00902F0C">
        <w:tc>
          <w:tcPr>
            <w:tcW w:w="1384"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Date</w:t>
            </w:r>
          </w:p>
        </w:tc>
        <w:tc>
          <w:tcPr>
            <w:tcW w:w="2693"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Prestataire</w:t>
            </w:r>
          </w:p>
        </w:tc>
        <w:tc>
          <w:tcPr>
            <w:tcW w:w="3828"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Objet de l’achat</w:t>
            </w:r>
          </w:p>
        </w:tc>
        <w:tc>
          <w:tcPr>
            <w:tcW w:w="1417" w:type="dxa"/>
            <w:shd w:val="clear" w:color="auto" w:fill="D0D0D1" w:themeFill="text2" w:themeFillTint="66"/>
          </w:tcPr>
          <w:p w:rsidR="00234C0D" w:rsidRPr="00D13AF9" w:rsidRDefault="00234C0D" w:rsidP="00902F0C">
            <w:pPr>
              <w:tabs>
                <w:tab w:val="left" w:pos="-5103"/>
              </w:tabs>
              <w:jc w:val="center"/>
              <w:rPr>
                <w:rFonts w:asciiTheme="minorHAnsi" w:hAnsiTheme="minorHAnsi"/>
                <w:szCs w:val="20"/>
              </w:rPr>
            </w:pPr>
            <w:r w:rsidRPr="00D13AF9">
              <w:rPr>
                <w:rFonts w:asciiTheme="minorHAnsi" w:hAnsiTheme="minorHAnsi"/>
                <w:szCs w:val="20"/>
              </w:rPr>
              <w:t>Montant TTC</w:t>
            </w:r>
          </w:p>
        </w:tc>
      </w:tr>
      <w:tr w:rsidR="00234C0D" w:rsidRPr="004B35D4" w:rsidTr="00902F0C">
        <w:trPr>
          <w:trHeight w:val="123"/>
        </w:trPr>
        <w:tc>
          <w:tcPr>
            <w:tcW w:w="1384" w:type="dxa"/>
            <w:vAlign w:val="center"/>
          </w:tcPr>
          <w:p w:rsidR="00234C0D" w:rsidRPr="00E84DFB" w:rsidRDefault="00234C0D" w:rsidP="00902F0C">
            <w:pPr>
              <w:tabs>
                <w:tab w:val="left" w:pos="-5103"/>
              </w:tabs>
              <w:jc w:val="center"/>
              <w:rPr>
                <w:rFonts w:asciiTheme="minorHAnsi" w:hAnsiTheme="minorHAnsi"/>
                <w:szCs w:val="20"/>
              </w:rPr>
            </w:pPr>
            <w:r w:rsidRPr="00E84DFB">
              <w:rPr>
                <w:rFonts w:asciiTheme="minorHAnsi" w:hAnsiTheme="minorHAnsi"/>
                <w:szCs w:val="20"/>
              </w:rPr>
              <w:t>02/03/2018</w:t>
            </w:r>
          </w:p>
        </w:tc>
        <w:tc>
          <w:tcPr>
            <w:tcW w:w="2693" w:type="dxa"/>
            <w:vAlign w:val="center"/>
          </w:tcPr>
          <w:p w:rsidR="00234C0D" w:rsidRPr="00E84DFB" w:rsidRDefault="00234C0D" w:rsidP="00902F0C">
            <w:pPr>
              <w:tabs>
                <w:tab w:val="left" w:pos="-5103"/>
              </w:tabs>
              <w:jc w:val="left"/>
              <w:rPr>
                <w:rFonts w:asciiTheme="minorHAnsi" w:hAnsiTheme="minorHAnsi"/>
                <w:szCs w:val="20"/>
              </w:rPr>
            </w:pPr>
            <w:r w:rsidRPr="00E84DFB">
              <w:rPr>
                <w:rFonts w:asciiTheme="minorHAnsi" w:hAnsiTheme="minorHAnsi"/>
                <w:szCs w:val="20"/>
              </w:rPr>
              <w:t>SAS ILIANE</w:t>
            </w:r>
          </w:p>
        </w:tc>
        <w:tc>
          <w:tcPr>
            <w:tcW w:w="3828" w:type="dxa"/>
          </w:tcPr>
          <w:p w:rsidR="00234C0D" w:rsidRPr="00E84DFB" w:rsidRDefault="00234C0D" w:rsidP="00902F0C">
            <w:pPr>
              <w:tabs>
                <w:tab w:val="left" w:pos="-5103"/>
              </w:tabs>
              <w:jc w:val="left"/>
              <w:rPr>
                <w:rFonts w:asciiTheme="minorHAnsi" w:hAnsiTheme="minorHAnsi"/>
                <w:szCs w:val="20"/>
              </w:rPr>
            </w:pPr>
            <w:r w:rsidRPr="00E84DFB">
              <w:rPr>
                <w:rFonts w:asciiTheme="minorHAnsi" w:hAnsiTheme="minorHAnsi"/>
                <w:szCs w:val="20"/>
              </w:rPr>
              <w:t>Maintenance curative</w:t>
            </w:r>
          </w:p>
        </w:tc>
        <w:tc>
          <w:tcPr>
            <w:tcW w:w="1417" w:type="dxa"/>
            <w:vAlign w:val="center"/>
          </w:tcPr>
          <w:p w:rsidR="00234C0D" w:rsidRPr="00E84DFB" w:rsidRDefault="00234C0D" w:rsidP="00902F0C">
            <w:pPr>
              <w:tabs>
                <w:tab w:val="left" w:pos="-5103"/>
              </w:tabs>
              <w:jc w:val="right"/>
              <w:rPr>
                <w:rFonts w:asciiTheme="minorHAnsi" w:hAnsiTheme="minorHAnsi"/>
                <w:szCs w:val="20"/>
              </w:rPr>
            </w:pPr>
            <w:r w:rsidRPr="00E84DFB">
              <w:rPr>
                <w:rFonts w:asciiTheme="minorHAnsi" w:hAnsiTheme="minorHAnsi"/>
                <w:szCs w:val="20"/>
              </w:rPr>
              <w:t>3 346,20 €</w:t>
            </w:r>
          </w:p>
        </w:tc>
      </w:tr>
      <w:tr w:rsidR="00234C0D" w:rsidRPr="004B35D4" w:rsidTr="00902F0C">
        <w:trPr>
          <w:trHeight w:val="123"/>
        </w:trPr>
        <w:tc>
          <w:tcPr>
            <w:tcW w:w="1384" w:type="dxa"/>
            <w:vAlign w:val="center"/>
          </w:tcPr>
          <w:p w:rsidR="00234C0D" w:rsidRPr="00E84DFB" w:rsidRDefault="00234C0D" w:rsidP="00902F0C">
            <w:pPr>
              <w:tabs>
                <w:tab w:val="left" w:pos="-5103"/>
              </w:tabs>
              <w:jc w:val="center"/>
              <w:rPr>
                <w:rFonts w:asciiTheme="minorHAnsi" w:hAnsiTheme="minorHAnsi"/>
                <w:szCs w:val="20"/>
              </w:rPr>
            </w:pPr>
            <w:r w:rsidRPr="00E84DFB">
              <w:rPr>
                <w:rFonts w:asciiTheme="minorHAnsi" w:hAnsiTheme="minorHAnsi"/>
                <w:szCs w:val="20"/>
              </w:rPr>
              <w:t>06/03/2018</w:t>
            </w:r>
          </w:p>
        </w:tc>
        <w:tc>
          <w:tcPr>
            <w:tcW w:w="2693" w:type="dxa"/>
            <w:vAlign w:val="center"/>
          </w:tcPr>
          <w:p w:rsidR="00234C0D" w:rsidRPr="00E84DFB" w:rsidRDefault="00234C0D" w:rsidP="00902F0C">
            <w:pPr>
              <w:tabs>
                <w:tab w:val="left" w:pos="-5103"/>
              </w:tabs>
              <w:jc w:val="left"/>
              <w:rPr>
                <w:rFonts w:asciiTheme="minorHAnsi" w:hAnsiTheme="minorHAnsi"/>
                <w:szCs w:val="20"/>
              </w:rPr>
            </w:pPr>
            <w:r w:rsidRPr="00E84DFB">
              <w:rPr>
                <w:rFonts w:asciiTheme="minorHAnsi" w:hAnsiTheme="minorHAnsi"/>
                <w:szCs w:val="20"/>
              </w:rPr>
              <w:t>SARL LUX</w:t>
            </w:r>
          </w:p>
        </w:tc>
        <w:tc>
          <w:tcPr>
            <w:tcW w:w="3828" w:type="dxa"/>
          </w:tcPr>
          <w:p w:rsidR="00234C0D" w:rsidRPr="00E84DFB" w:rsidRDefault="00234C0D" w:rsidP="00902F0C">
            <w:pPr>
              <w:tabs>
                <w:tab w:val="left" w:pos="-5103"/>
              </w:tabs>
              <w:jc w:val="left"/>
              <w:rPr>
                <w:rFonts w:asciiTheme="minorHAnsi" w:hAnsiTheme="minorHAnsi"/>
                <w:szCs w:val="20"/>
              </w:rPr>
            </w:pPr>
            <w:r w:rsidRPr="00E84DFB">
              <w:rPr>
                <w:rFonts w:asciiTheme="minorHAnsi" w:hAnsiTheme="minorHAnsi"/>
                <w:szCs w:val="20"/>
              </w:rPr>
              <w:t>Formation base en éclairage extérieur</w:t>
            </w:r>
          </w:p>
        </w:tc>
        <w:tc>
          <w:tcPr>
            <w:tcW w:w="1417" w:type="dxa"/>
            <w:vAlign w:val="center"/>
          </w:tcPr>
          <w:p w:rsidR="00234C0D" w:rsidRPr="00E84DFB" w:rsidRDefault="00234C0D" w:rsidP="00902F0C">
            <w:pPr>
              <w:tabs>
                <w:tab w:val="left" w:pos="-5103"/>
              </w:tabs>
              <w:jc w:val="right"/>
              <w:rPr>
                <w:rFonts w:asciiTheme="minorHAnsi" w:hAnsiTheme="minorHAnsi"/>
                <w:szCs w:val="20"/>
              </w:rPr>
            </w:pPr>
            <w:r w:rsidRPr="00E84DFB">
              <w:rPr>
                <w:rFonts w:asciiTheme="minorHAnsi" w:hAnsiTheme="minorHAnsi"/>
                <w:szCs w:val="20"/>
              </w:rPr>
              <w:t>5 400,00 €</w:t>
            </w:r>
          </w:p>
        </w:tc>
      </w:tr>
    </w:tbl>
    <w:p w:rsidR="00FF30A8" w:rsidRDefault="00FF30A8" w:rsidP="00FF30A8">
      <w:pPr>
        <w:tabs>
          <w:tab w:val="left" w:pos="-5103"/>
        </w:tabs>
        <w:rPr>
          <w:szCs w:val="22"/>
          <w:u w:val="single"/>
        </w:rPr>
      </w:pPr>
    </w:p>
    <w:p w:rsidR="00F97E46" w:rsidRDefault="00F97E46" w:rsidP="00FF30A8">
      <w:pPr>
        <w:tabs>
          <w:tab w:val="left" w:pos="-5103"/>
        </w:tabs>
        <w:rPr>
          <w:szCs w:val="22"/>
          <w:u w:val="single"/>
        </w:rPr>
      </w:pPr>
    </w:p>
    <w:p w:rsidR="0084241B" w:rsidRPr="00576966" w:rsidRDefault="0084241B" w:rsidP="0084241B">
      <w:pPr>
        <w:pBdr>
          <w:top w:val="single" w:sz="4" w:space="0" w:color="808080"/>
          <w:left w:val="single" w:sz="4" w:space="4" w:color="808080"/>
          <w:bottom w:val="single" w:sz="4" w:space="1" w:color="808080"/>
          <w:right w:val="single" w:sz="4" w:space="4" w:color="808080"/>
        </w:pBdr>
        <w:shd w:val="clear" w:color="auto" w:fill="595959"/>
        <w:ind w:right="-1"/>
        <w:rPr>
          <w:rFonts w:ascii="Venacti Sb" w:hAnsi="Venacti Sb"/>
          <w:color w:val="FFFFFF"/>
          <w:sz w:val="24"/>
        </w:rPr>
      </w:pPr>
      <w:r>
        <w:rPr>
          <w:rFonts w:ascii="Venacti Sb" w:hAnsi="Venacti Sb"/>
          <w:bCs/>
          <w:color w:val="FFFFFF"/>
          <w:sz w:val="26"/>
          <w:szCs w:val="26"/>
        </w:rPr>
        <w:t>Informations et question</w:t>
      </w:r>
      <w:r w:rsidR="007E0BF2">
        <w:rPr>
          <w:rFonts w:ascii="Venacti Sb" w:hAnsi="Venacti Sb"/>
          <w:bCs/>
          <w:color w:val="FFFFFF"/>
          <w:sz w:val="26"/>
          <w:szCs w:val="26"/>
        </w:rPr>
        <w:t>s</w:t>
      </w:r>
      <w:r>
        <w:rPr>
          <w:rFonts w:ascii="Venacti Sb" w:hAnsi="Venacti Sb"/>
          <w:bCs/>
          <w:color w:val="FFFFFF"/>
          <w:sz w:val="26"/>
          <w:szCs w:val="26"/>
        </w:rPr>
        <w:t xml:space="preserve"> diverses</w:t>
      </w:r>
    </w:p>
    <w:p w:rsidR="0084241B" w:rsidRPr="00A055C0" w:rsidRDefault="0084241B" w:rsidP="00A055C0">
      <w:pPr>
        <w:ind w:firstLine="708"/>
        <w:rPr>
          <w:rFonts w:ascii="Calibri" w:hAnsi="Calibri"/>
          <w:b/>
          <w:sz w:val="16"/>
          <w:szCs w:val="16"/>
        </w:rPr>
      </w:pPr>
    </w:p>
    <w:p w:rsidR="00F97E46" w:rsidRDefault="00F97E46" w:rsidP="00EE7FB6">
      <w:pPr>
        <w:pStyle w:val="Corpsdetexte"/>
        <w:ind w:left="4956" w:hanging="4956"/>
        <w:rPr>
          <w:rFonts w:ascii="Calibri" w:hAnsi="Calibri"/>
          <w:szCs w:val="22"/>
        </w:rPr>
      </w:pPr>
    </w:p>
    <w:p w:rsidR="00B14BB1" w:rsidRDefault="00B14BB1" w:rsidP="00EE7FB6">
      <w:pPr>
        <w:pStyle w:val="Corpsdetexte"/>
        <w:ind w:left="4956" w:hanging="4956"/>
        <w:rPr>
          <w:rFonts w:ascii="Calibri" w:hAnsi="Calibri"/>
          <w:szCs w:val="22"/>
        </w:rPr>
      </w:pPr>
    </w:p>
    <w:p w:rsidR="00B14BB1" w:rsidRDefault="00B14BB1" w:rsidP="00EE7FB6">
      <w:pPr>
        <w:pStyle w:val="Corpsdetexte"/>
        <w:ind w:left="4956" w:hanging="4956"/>
        <w:rPr>
          <w:rFonts w:ascii="Calibri" w:hAnsi="Calibri"/>
          <w:szCs w:val="22"/>
        </w:rPr>
      </w:pPr>
      <w:r>
        <w:rPr>
          <w:rFonts w:ascii="Calibri" w:hAnsi="Calibri"/>
          <w:szCs w:val="22"/>
        </w:rPr>
        <w:t>L’ordre du jour étant épuisé, le président lève la séance à 12 h 30.</w:t>
      </w:r>
    </w:p>
    <w:p w:rsidR="00B14BB1" w:rsidRDefault="00B14BB1" w:rsidP="00EE7FB6">
      <w:pPr>
        <w:pStyle w:val="Corpsdetexte"/>
        <w:ind w:left="4956" w:hanging="4956"/>
        <w:rPr>
          <w:rFonts w:ascii="Calibri" w:hAnsi="Calibri"/>
          <w:szCs w:val="22"/>
        </w:rPr>
      </w:pPr>
    </w:p>
    <w:p w:rsidR="00B14BB1" w:rsidRPr="00EE7FB6" w:rsidRDefault="00B14BB1" w:rsidP="00EE7FB6">
      <w:pPr>
        <w:pStyle w:val="Corpsdetexte"/>
        <w:ind w:left="4956" w:hanging="4956"/>
        <w:rPr>
          <w:rFonts w:ascii="Calibri" w:hAnsi="Calibri"/>
          <w:szCs w:val="22"/>
        </w:rPr>
      </w:pPr>
    </w:p>
    <w:p w:rsidR="00047A8F" w:rsidRPr="0064011B" w:rsidRDefault="00047A8F" w:rsidP="00047A8F">
      <w:pPr>
        <w:pStyle w:val="Corpsdetexte"/>
        <w:ind w:left="4956" w:firstLine="708"/>
        <w:rPr>
          <w:rFonts w:ascii="Calibri" w:hAnsi="Calibri"/>
          <w:b/>
          <w:szCs w:val="22"/>
        </w:rPr>
      </w:pPr>
      <w:r w:rsidRPr="0064011B">
        <w:rPr>
          <w:rFonts w:ascii="Calibri" w:hAnsi="Calibri"/>
          <w:b/>
          <w:szCs w:val="22"/>
        </w:rPr>
        <w:t>Le Président,</w:t>
      </w:r>
    </w:p>
    <w:p w:rsidR="00FC038D" w:rsidRDefault="00047A8F" w:rsidP="003C72A4">
      <w:pPr>
        <w:pStyle w:val="Corpsdetexte"/>
        <w:rPr>
          <w:rFonts w:ascii="Calibri" w:hAnsi="Calibri"/>
          <w:b/>
          <w:szCs w:val="22"/>
        </w:rPr>
      </w:pP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r>
      <w:r w:rsidRPr="0064011B">
        <w:rPr>
          <w:rFonts w:ascii="Calibri" w:hAnsi="Calibri"/>
          <w:b/>
          <w:szCs w:val="22"/>
        </w:rPr>
        <w:tab/>
        <w:t>Didier NOUYOU</w:t>
      </w:r>
      <w:bookmarkEnd w:id="1"/>
      <w:bookmarkEnd w:id="2"/>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130F35" w:rsidRDefault="00130F35" w:rsidP="003C72A4">
      <w:pPr>
        <w:pStyle w:val="Corpsdetexte"/>
        <w:rPr>
          <w:rFonts w:ascii="Calibri" w:hAnsi="Calibri"/>
          <w:b/>
          <w:szCs w:val="22"/>
        </w:rPr>
      </w:pPr>
    </w:p>
    <w:p w:rsidR="00902F0C" w:rsidRDefault="00FC038D" w:rsidP="00130F35">
      <w:pPr>
        <w:jc w:val="left"/>
        <w:rPr>
          <w:b/>
          <w:noProof/>
          <w:u w:val="single"/>
        </w:rPr>
      </w:pPr>
      <w:r>
        <w:rPr>
          <w:rFonts w:ascii="Calibri" w:hAnsi="Calibri"/>
          <w:b/>
          <w:szCs w:val="22"/>
        </w:rPr>
        <w:br w:type="page"/>
      </w:r>
      <w:r w:rsidR="00902F0C" w:rsidRPr="00902F0C">
        <w:rPr>
          <w:b/>
          <w:noProof/>
          <w:u w:val="single"/>
        </w:rPr>
        <w:lastRenderedPageBreak/>
        <w:t>ANNEXE 1</w:t>
      </w:r>
    </w:p>
    <w:p w:rsidR="00902F0C" w:rsidRPr="00902F0C" w:rsidRDefault="00902F0C" w:rsidP="00130F35">
      <w:pPr>
        <w:jc w:val="left"/>
        <w:rPr>
          <w:b/>
          <w:noProof/>
          <w:u w:val="single"/>
        </w:rPr>
      </w:pPr>
    </w:p>
    <w:p w:rsidR="00234C0D" w:rsidRDefault="00234C0D" w:rsidP="00627DCF">
      <w:pPr>
        <w:jc w:val="left"/>
        <w:rPr>
          <w:b/>
        </w:rPr>
      </w:pPr>
    </w:p>
    <w:p w:rsidR="00234C0D" w:rsidRDefault="00234C0D" w:rsidP="00627DCF">
      <w:pPr>
        <w:jc w:val="left"/>
        <w:rPr>
          <w:b/>
        </w:rPr>
      </w:pPr>
    </w:p>
    <w:p w:rsidR="00902F0C" w:rsidRDefault="00902F0C">
      <w:pPr>
        <w:spacing w:after="200" w:line="276" w:lineRule="auto"/>
        <w:jc w:val="left"/>
        <w:rPr>
          <w:b/>
        </w:rPr>
      </w:pPr>
      <w:r>
        <w:rPr>
          <w:b/>
        </w:rPr>
        <w:br w:type="page"/>
      </w:r>
    </w:p>
    <w:p w:rsidR="00902F0C" w:rsidRPr="00902F0C" w:rsidRDefault="00902F0C" w:rsidP="00902F0C">
      <w:pPr>
        <w:jc w:val="left"/>
        <w:rPr>
          <w:b/>
          <w:u w:val="single"/>
        </w:rPr>
      </w:pPr>
      <w:r w:rsidRPr="00902F0C">
        <w:rPr>
          <w:b/>
          <w:u w:val="single"/>
        </w:rPr>
        <w:lastRenderedPageBreak/>
        <w:t>ANNEXE 2</w:t>
      </w:r>
    </w:p>
    <w:p w:rsidR="00902F0C" w:rsidRDefault="00902F0C" w:rsidP="00902F0C">
      <w:pPr>
        <w:jc w:val="left"/>
        <w:rPr>
          <w:b/>
        </w:rPr>
      </w:pPr>
    </w:p>
    <w:p w:rsidR="00902F0C" w:rsidRPr="00692EA6" w:rsidRDefault="00902F0C" w:rsidP="00902F0C">
      <w:pPr>
        <w:tabs>
          <w:tab w:val="left" w:pos="6521"/>
        </w:tabs>
        <w:overflowPunct w:val="0"/>
        <w:autoSpaceDE w:val="0"/>
        <w:autoSpaceDN w:val="0"/>
        <w:adjustRightInd w:val="0"/>
        <w:spacing w:after="600"/>
        <w:textAlignment w:val="baseline"/>
        <w:rPr>
          <w:rFonts w:ascii="Arial (W1)" w:eastAsia="Times New Roman" w:hAnsi="Arial (W1)" w:cs="Arial"/>
          <w:sz w:val="24"/>
          <w:szCs w:val="20"/>
        </w:rPr>
      </w:pPr>
      <w:r>
        <w:rPr>
          <w:rFonts w:ascii="Arial (W1)" w:eastAsia="Times New Roman" w:hAnsi="Arial (W1)" w:cs="Arial"/>
          <w:noProof/>
          <w:sz w:val="24"/>
          <w:szCs w:val="20"/>
        </w:rPr>
        <w:drawing>
          <wp:inline distT="0" distB="0" distL="0" distR="0" wp14:anchorId="584FAA9C" wp14:editId="03510282">
            <wp:extent cx="1524000" cy="63817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524000" cy="638175"/>
                    </a:xfrm>
                    <a:prstGeom prst="rect">
                      <a:avLst/>
                    </a:prstGeom>
                    <a:noFill/>
                    <a:ln w="9525">
                      <a:noFill/>
                      <a:miter lim="800000"/>
                      <a:headEnd/>
                      <a:tailEnd/>
                    </a:ln>
                  </pic:spPr>
                </pic:pic>
              </a:graphicData>
            </a:graphic>
          </wp:inline>
        </w:drawing>
      </w:r>
      <w:r>
        <w:t xml:space="preserve">                                                                                </w:t>
      </w:r>
      <w:r>
        <w:rPr>
          <w:noProof/>
        </w:rPr>
        <w:drawing>
          <wp:inline distT="0" distB="0" distL="0" distR="0" wp14:anchorId="55D9F4EA" wp14:editId="25959DFD">
            <wp:extent cx="1622425" cy="511175"/>
            <wp:effectExtent l="19050" t="0" r="0" b="0"/>
            <wp:docPr id="26" name="Image 26" descr="Fredd + signature_couleur_RVB_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redd + signature_couleur_RVB_300 dpi.png"/>
                    <pic:cNvPicPr>
                      <a:picLocks noChangeAspect="1" noChangeArrowheads="1"/>
                    </pic:cNvPicPr>
                  </pic:nvPicPr>
                  <pic:blipFill>
                    <a:blip r:embed="rId16" cstate="print"/>
                    <a:srcRect/>
                    <a:stretch>
                      <a:fillRect/>
                    </a:stretch>
                  </pic:blipFill>
                  <pic:spPr bwMode="auto">
                    <a:xfrm>
                      <a:off x="0" y="0"/>
                      <a:ext cx="1622425" cy="511175"/>
                    </a:xfrm>
                    <a:prstGeom prst="rect">
                      <a:avLst/>
                    </a:prstGeom>
                    <a:noFill/>
                    <a:ln w="9525">
                      <a:noFill/>
                      <a:miter lim="800000"/>
                      <a:headEnd/>
                      <a:tailEnd/>
                    </a:ln>
                  </pic:spPr>
                </pic:pic>
              </a:graphicData>
            </a:graphic>
          </wp:inline>
        </w:drawing>
      </w:r>
    </w:p>
    <w:p w:rsidR="00902F0C" w:rsidRPr="00692EA6" w:rsidRDefault="00902F0C" w:rsidP="00902F0C">
      <w:pPr>
        <w:overflowPunct w:val="0"/>
        <w:autoSpaceDE w:val="0"/>
        <w:autoSpaceDN w:val="0"/>
        <w:adjustRightInd w:val="0"/>
        <w:ind w:right="-72"/>
        <w:jc w:val="center"/>
        <w:textAlignment w:val="baseline"/>
        <w:rPr>
          <w:rFonts w:ascii="Arial" w:eastAsia="Times New Roman" w:hAnsi="Arial" w:cs="Arial"/>
          <w:b/>
          <w:sz w:val="28"/>
          <w:szCs w:val="20"/>
        </w:rPr>
      </w:pPr>
    </w:p>
    <w:p w:rsidR="00902F0C" w:rsidRPr="00692EA6" w:rsidRDefault="00902F0C" w:rsidP="00902F0C">
      <w:pPr>
        <w:pBdr>
          <w:top w:val="single" w:sz="4" w:space="1" w:color="auto"/>
          <w:left w:val="single" w:sz="4" w:space="4" w:color="auto"/>
          <w:bottom w:val="single" w:sz="4" w:space="1" w:color="auto"/>
          <w:right w:val="single" w:sz="4" w:space="4" w:color="auto"/>
        </w:pBdr>
        <w:overflowPunct w:val="0"/>
        <w:autoSpaceDE w:val="0"/>
        <w:autoSpaceDN w:val="0"/>
        <w:adjustRightInd w:val="0"/>
        <w:ind w:right="-72"/>
        <w:jc w:val="center"/>
        <w:textAlignment w:val="baseline"/>
        <w:rPr>
          <w:rFonts w:ascii="Arial" w:eastAsia="Times New Roman" w:hAnsi="Arial" w:cs="Arial"/>
          <w:b/>
          <w:sz w:val="28"/>
          <w:szCs w:val="20"/>
        </w:rPr>
      </w:pPr>
    </w:p>
    <w:p w:rsidR="00902F0C" w:rsidRPr="00692EA6" w:rsidRDefault="00902F0C" w:rsidP="00902F0C">
      <w:pPr>
        <w:pBdr>
          <w:top w:val="single" w:sz="4" w:space="1" w:color="auto"/>
          <w:left w:val="single" w:sz="4" w:space="4" w:color="auto"/>
          <w:bottom w:val="single" w:sz="4" w:space="1" w:color="auto"/>
          <w:right w:val="single" w:sz="4" w:space="4" w:color="auto"/>
        </w:pBdr>
        <w:overflowPunct w:val="0"/>
        <w:autoSpaceDE w:val="0"/>
        <w:autoSpaceDN w:val="0"/>
        <w:adjustRightInd w:val="0"/>
        <w:ind w:right="-72"/>
        <w:jc w:val="center"/>
        <w:textAlignment w:val="baseline"/>
        <w:rPr>
          <w:rFonts w:ascii="Arial" w:eastAsia="Times New Roman" w:hAnsi="Arial" w:cs="Arial"/>
          <w:b/>
          <w:sz w:val="28"/>
          <w:szCs w:val="20"/>
        </w:rPr>
      </w:pPr>
      <w:r w:rsidRPr="00692EA6">
        <w:rPr>
          <w:rFonts w:ascii="Arial" w:eastAsia="Times New Roman" w:hAnsi="Arial" w:cs="Arial"/>
          <w:b/>
          <w:sz w:val="28"/>
          <w:szCs w:val="20"/>
        </w:rPr>
        <w:t>Convention relative à l’intégration dans l’environnement</w:t>
      </w:r>
    </w:p>
    <w:p w:rsidR="00902F0C" w:rsidRPr="00692EA6" w:rsidRDefault="00902F0C" w:rsidP="00902F0C">
      <w:pPr>
        <w:pBdr>
          <w:top w:val="single" w:sz="4" w:space="1" w:color="auto"/>
          <w:left w:val="single" w:sz="4" w:space="4" w:color="auto"/>
          <w:bottom w:val="single" w:sz="4" w:space="1" w:color="auto"/>
          <w:right w:val="single" w:sz="4" w:space="4" w:color="auto"/>
        </w:pBdr>
        <w:overflowPunct w:val="0"/>
        <w:autoSpaceDE w:val="0"/>
        <w:autoSpaceDN w:val="0"/>
        <w:adjustRightInd w:val="0"/>
        <w:ind w:right="-72"/>
        <w:jc w:val="center"/>
        <w:textAlignment w:val="baseline"/>
        <w:rPr>
          <w:rFonts w:ascii="Arial" w:eastAsia="Times New Roman" w:hAnsi="Arial" w:cs="Arial"/>
          <w:sz w:val="28"/>
          <w:szCs w:val="20"/>
        </w:rPr>
      </w:pPr>
      <w:r w:rsidRPr="00692EA6">
        <w:rPr>
          <w:rFonts w:ascii="Arial" w:eastAsia="Times New Roman" w:hAnsi="Arial" w:cs="Arial"/>
          <w:b/>
          <w:sz w:val="28"/>
          <w:szCs w:val="20"/>
        </w:rPr>
        <w:t>des ouvrages de la concession de distribution publique d'électricité</w:t>
      </w:r>
    </w:p>
    <w:p w:rsidR="00902F0C" w:rsidRPr="00692EA6" w:rsidRDefault="00902F0C" w:rsidP="00902F0C">
      <w:pPr>
        <w:pBdr>
          <w:top w:val="single" w:sz="4" w:space="1" w:color="auto"/>
          <w:left w:val="single" w:sz="4" w:space="4" w:color="auto"/>
          <w:bottom w:val="single" w:sz="4" w:space="1" w:color="auto"/>
          <w:right w:val="single" w:sz="4" w:space="4" w:color="auto"/>
        </w:pBdr>
        <w:overflowPunct w:val="0"/>
        <w:autoSpaceDE w:val="0"/>
        <w:autoSpaceDN w:val="0"/>
        <w:adjustRightInd w:val="0"/>
        <w:ind w:right="-72"/>
        <w:jc w:val="center"/>
        <w:textAlignment w:val="baseline"/>
        <w:rPr>
          <w:rFonts w:ascii="Arial" w:eastAsia="Times New Roman" w:hAnsi="Arial" w:cs="Arial"/>
          <w:sz w:val="28"/>
          <w:szCs w:val="20"/>
        </w:rPr>
      </w:pPr>
    </w:p>
    <w:p w:rsidR="00902F0C" w:rsidRPr="00692EA6" w:rsidRDefault="00902F0C" w:rsidP="00902F0C">
      <w:pPr>
        <w:overflowPunct w:val="0"/>
        <w:autoSpaceDE w:val="0"/>
        <w:autoSpaceDN w:val="0"/>
        <w:adjustRightInd w:val="0"/>
        <w:ind w:right="8"/>
        <w:textAlignment w:val="baseline"/>
        <w:rPr>
          <w:rFonts w:ascii="Arial" w:eastAsia="Times New Roman" w:hAnsi="Arial" w:cs="Arial"/>
          <w:noProof/>
          <w:sz w:val="20"/>
          <w:szCs w:val="20"/>
        </w:rPr>
      </w:pPr>
    </w:p>
    <w:p w:rsidR="00902F0C" w:rsidRPr="00692EA6" w:rsidRDefault="00902F0C" w:rsidP="00902F0C">
      <w:pPr>
        <w:overflowPunct w:val="0"/>
        <w:autoSpaceDE w:val="0"/>
        <w:autoSpaceDN w:val="0"/>
        <w:adjustRightInd w:val="0"/>
        <w:ind w:right="8"/>
        <w:textAlignment w:val="baseline"/>
        <w:rPr>
          <w:rFonts w:ascii="Arial" w:eastAsia="Times New Roman" w:hAnsi="Arial" w:cs="Arial"/>
          <w:noProof/>
          <w:sz w:val="20"/>
          <w:szCs w:val="20"/>
        </w:rPr>
      </w:pPr>
    </w:p>
    <w:p w:rsidR="00902F0C" w:rsidRPr="00692EA6" w:rsidRDefault="00902F0C" w:rsidP="00902F0C">
      <w:pPr>
        <w:overflowPunct w:val="0"/>
        <w:autoSpaceDE w:val="0"/>
        <w:autoSpaceDN w:val="0"/>
        <w:adjustRightInd w:val="0"/>
        <w:ind w:right="8"/>
        <w:textAlignment w:val="baseline"/>
        <w:rPr>
          <w:rFonts w:ascii="Arial" w:eastAsia="Times New Roman" w:hAnsi="Arial" w:cs="Arial"/>
          <w:noProof/>
          <w:sz w:val="20"/>
          <w:szCs w:val="20"/>
        </w:rPr>
      </w:pPr>
    </w:p>
    <w:p w:rsidR="00902F0C" w:rsidRPr="00692EA6" w:rsidRDefault="00902F0C" w:rsidP="00902F0C">
      <w:pPr>
        <w:overflowPunct w:val="0"/>
        <w:autoSpaceDE w:val="0"/>
        <w:autoSpaceDN w:val="0"/>
        <w:adjustRightInd w:val="0"/>
        <w:ind w:right="8"/>
        <w:textAlignment w:val="baseline"/>
        <w:rPr>
          <w:rFonts w:ascii="Arial" w:eastAsia="Times New Roman" w:hAnsi="Arial" w:cs="Arial"/>
          <w:noProof/>
          <w:sz w:val="20"/>
          <w:szCs w:val="20"/>
        </w:rPr>
      </w:pPr>
    </w:p>
    <w:p w:rsidR="00902F0C" w:rsidRPr="00902F0C" w:rsidRDefault="00902F0C" w:rsidP="00902F0C">
      <w:pPr>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Entre les soussignés :</w:t>
      </w:r>
    </w:p>
    <w:p w:rsidR="00902F0C" w:rsidRPr="00902F0C" w:rsidRDefault="00902F0C" w:rsidP="00902F0C">
      <w:pPr>
        <w:tabs>
          <w:tab w:val="left" w:leader="dot" w:pos="3700"/>
        </w:tabs>
        <w:overflowPunct w:val="0"/>
        <w:autoSpaceDE w:val="0"/>
        <w:autoSpaceDN w:val="0"/>
        <w:adjustRightInd w:val="0"/>
        <w:ind w:right="8"/>
        <w:textAlignment w:val="baseline"/>
        <w:rPr>
          <w:rFonts w:eastAsia="Times New Roman" w:cs="Arial"/>
          <w:noProof/>
          <w:szCs w:val="22"/>
        </w:rPr>
      </w:pPr>
    </w:p>
    <w:p w:rsidR="00902F0C" w:rsidRPr="00902F0C" w:rsidRDefault="00902F0C" w:rsidP="00902F0C">
      <w:pPr>
        <w:tabs>
          <w:tab w:val="left" w:leader="dot" w:pos="3700"/>
        </w:tabs>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 xml:space="preserve">Le </w:t>
      </w:r>
      <w:r w:rsidRPr="00902F0C">
        <w:rPr>
          <w:rFonts w:eastAsia="Times New Roman" w:cs="Arial"/>
          <w:b/>
          <w:bCs/>
          <w:noProof/>
          <w:szCs w:val="22"/>
        </w:rPr>
        <w:t>SYNDICAT DÉPARTEMENTAL D’ENERGIE 35</w:t>
      </w:r>
      <w:r w:rsidRPr="00902F0C">
        <w:rPr>
          <w:rFonts w:eastAsia="Times New Roman" w:cs="Arial"/>
          <w:noProof/>
          <w:szCs w:val="22"/>
        </w:rPr>
        <w:t>, agissant en tant que délégataire du pouvoir concédant des communes d’Ille et Vilaine, représenté par son Président en la personne de Monsieur Didier NOUYOU, ayant reçu tous pouvoirs à l’effet des présentes par décision du Comité Syndical en date du                 /                 / 2018 et</w:t>
      </w:r>
    </w:p>
    <w:p w:rsidR="00902F0C" w:rsidRPr="00902F0C" w:rsidRDefault="00902F0C" w:rsidP="00902F0C">
      <w:pPr>
        <w:tabs>
          <w:tab w:val="left" w:leader="dot" w:pos="3020"/>
          <w:tab w:val="left" w:leader="dot" w:pos="3980"/>
          <w:tab w:val="right" w:leader="dot" w:pos="9260"/>
        </w:tabs>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désigné ci-après par l'appellation : "</w:t>
      </w:r>
      <w:r w:rsidRPr="00902F0C">
        <w:rPr>
          <w:rFonts w:eastAsia="Times New Roman" w:cs="Arial"/>
          <w:b/>
          <w:noProof/>
          <w:szCs w:val="22"/>
        </w:rPr>
        <w:t>l'autorité concédante</w:t>
      </w:r>
      <w:r w:rsidRPr="00902F0C">
        <w:rPr>
          <w:rFonts w:eastAsia="Times New Roman" w:cs="Arial"/>
          <w:noProof/>
          <w:szCs w:val="22"/>
        </w:rPr>
        <w:t>"</w:t>
      </w:r>
    </w:p>
    <w:p w:rsidR="00902F0C" w:rsidRPr="00902F0C" w:rsidRDefault="00902F0C" w:rsidP="00902F0C">
      <w:pPr>
        <w:tabs>
          <w:tab w:val="left" w:leader="dot" w:pos="3020"/>
          <w:tab w:val="left" w:leader="dot" w:pos="3980"/>
          <w:tab w:val="right" w:leader="dot" w:pos="9260"/>
        </w:tabs>
        <w:overflowPunct w:val="0"/>
        <w:autoSpaceDE w:val="0"/>
        <w:autoSpaceDN w:val="0"/>
        <w:adjustRightInd w:val="0"/>
        <w:ind w:right="8"/>
        <w:textAlignment w:val="baseline"/>
        <w:rPr>
          <w:rFonts w:eastAsia="Times New Roman" w:cs="Arial"/>
          <w:noProof/>
          <w:szCs w:val="22"/>
        </w:rPr>
      </w:pPr>
    </w:p>
    <w:p w:rsidR="00902F0C" w:rsidRPr="00902F0C" w:rsidRDefault="00902F0C" w:rsidP="00902F0C">
      <w:pPr>
        <w:tabs>
          <w:tab w:val="left" w:leader="dot" w:pos="3020"/>
          <w:tab w:val="left" w:leader="dot" w:pos="3980"/>
          <w:tab w:val="right" w:leader="dot" w:pos="9260"/>
        </w:tabs>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Et</w:t>
      </w:r>
    </w:p>
    <w:p w:rsidR="00902F0C" w:rsidRPr="00902F0C" w:rsidRDefault="00902F0C" w:rsidP="00902F0C">
      <w:pPr>
        <w:tabs>
          <w:tab w:val="left" w:leader="dot" w:pos="3020"/>
          <w:tab w:val="left" w:leader="dot" w:pos="3980"/>
          <w:tab w:val="right" w:leader="dot" w:pos="9260"/>
        </w:tabs>
        <w:overflowPunct w:val="0"/>
        <w:autoSpaceDE w:val="0"/>
        <w:autoSpaceDN w:val="0"/>
        <w:adjustRightInd w:val="0"/>
        <w:ind w:right="8"/>
        <w:textAlignment w:val="baseline"/>
        <w:rPr>
          <w:rFonts w:eastAsia="Times New Roman" w:cs="Arial"/>
          <w:noProof/>
          <w:szCs w:val="22"/>
        </w:rPr>
      </w:pPr>
    </w:p>
    <w:p w:rsidR="00902F0C" w:rsidRPr="00902F0C" w:rsidRDefault="00902F0C" w:rsidP="00902F0C">
      <w:pPr>
        <w:rPr>
          <w:szCs w:val="22"/>
        </w:rPr>
      </w:pPr>
      <w:r w:rsidRPr="00902F0C">
        <w:rPr>
          <w:rFonts w:eastAsia="Times New Roman" w:cs="Arial"/>
          <w:b/>
          <w:szCs w:val="22"/>
        </w:rPr>
        <w:t>Enedis</w:t>
      </w:r>
      <w:r w:rsidRPr="00902F0C">
        <w:rPr>
          <w:rFonts w:eastAsia="Times New Roman" w:cs="Arial"/>
          <w:bCs/>
          <w:szCs w:val="22"/>
        </w:rPr>
        <w:t>, société anonyme à directoire et conseil de surveillance au capital de 270 037 000 euros, ayant son siège social, 34, place des Corolles,  92079 Paris La Défense Cedex, immatriculée au registre du commerce et des sociétés de Nanterre sous le n°444 608 442, représentée par Monsieur Marc POSNIC, Directeur Territorial Ille et Vilaine, agissant en vertu de la délégation de pouvoirs qui lui a été consentie le 1er janvier 2017 par M. Bernard LAURANS, Directeur Régional Bretagne, faisant élection de domicile au 64 boulevard Voltaire à Rennes ;</w:t>
      </w:r>
    </w:p>
    <w:p w:rsidR="00902F0C" w:rsidRPr="00902F0C" w:rsidRDefault="00902F0C" w:rsidP="00902F0C">
      <w:pPr>
        <w:tabs>
          <w:tab w:val="left" w:leader="dot" w:pos="3020"/>
          <w:tab w:val="left" w:leader="dot" w:pos="3980"/>
          <w:tab w:val="left" w:leader="dot" w:pos="5880"/>
          <w:tab w:val="right" w:leader="dot" w:pos="9260"/>
        </w:tabs>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désignée ci-après par l'appellation : "</w:t>
      </w:r>
      <w:r w:rsidRPr="00902F0C">
        <w:rPr>
          <w:rFonts w:eastAsia="Times New Roman" w:cs="Arial"/>
          <w:b/>
          <w:noProof/>
          <w:szCs w:val="22"/>
        </w:rPr>
        <w:t>le concessionnaire</w:t>
      </w:r>
      <w:r w:rsidRPr="00902F0C">
        <w:rPr>
          <w:rFonts w:eastAsia="Times New Roman" w:cs="Arial"/>
          <w:noProof/>
          <w:szCs w:val="22"/>
        </w:rPr>
        <w:t>",</w:t>
      </w:r>
    </w:p>
    <w:p w:rsidR="00902F0C" w:rsidRPr="00902F0C" w:rsidRDefault="00902F0C" w:rsidP="00902F0C">
      <w:pPr>
        <w:overflowPunct w:val="0"/>
        <w:autoSpaceDE w:val="0"/>
        <w:autoSpaceDN w:val="0"/>
        <w:adjustRightInd w:val="0"/>
        <w:ind w:left="300" w:right="8" w:hanging="300"/>
        <w:textAlignment w:val="baseline"/>
        <w:rPr>
          <w:rFonts w:eastAsia="Times New Roman" w:cs="Arial"/>
          <w:noProof/>
          <w:szCs w:val="22"/>
        </w:rPr>
      </w:pPr>
    </w:p>
    <w:p w:rsidR="00902F0C" w:rsidRPr="00902F0C" w:rsidRDefault="00902F0C" w:rsidP="00902F0C">
      <w:pPr>
        <w:keepNext/>
        <w:keepLines/>
        <w:overflowPunct w:val="0"/>
        <w:autoSpaceDE w:val="0"/>
        <w:autoSpaceDN w:val="0"/>
        <w:adjustRightInd w:val="0"/>
        <w:spacing w:before="120"/>
        <w:ind w:left="301" w:right="6" w:hanging="301"/>
        <w:textAlignment w:val="baseline"/>
        <w:rPr>
          <w:rFonts w:eastAsia="Times New Roman" w:cs="Arial"/>
          <w:b/>
          <w:noProof/>
          <w:szCs w:val="22"/>
        </w:rPr>
      </w:pPr>
      <w:r w:rsidRPr="00902F0C">
        <w:rPr>
          <w:rFonts w:eastAsia="Times New Roman" w:cs="Arial"/>
          <w:b/>
          <w:noProof/>
          <w:szCs w:val="22"/>
        </w:rPr>
        <w:t>Il est préalablement exposé ce qui suit :</w:t>
      </w:r>
    </w:p>
    <w:p w:rsidR="00902F0C" w:rsidRPr="00902F0C" w:rsidRDefault="00902F0C" w:rsidP="00902F0C">
      <w:pPr>
        <w:overflowPunct w:val="0"/>
        <w:autoSpaceDE w:val="0"/>
        <w:autoSpaceDN w:val="0"/>
        <w:adjustRightInd w:val="0"/>
        <w:spacing w:before="120"/>
        <w:ind w:right="8"/>
        <w:textAlignment w:val="baseline"/>
        <w:rPr>
          <w:rFonts w:eastAsia="Times New Roman" w:cs="Arial"/>
          <w:noProof/>
          <w:szCs w:val="22"/>
        </w:rPr>
      </w:pPr>
      <w:r w:rsidRPr="00902F0C">
        <w:rPr>
          <w:rFonts w:eastAsia="Times New Roman" w:cs="Arial"/>
          <w:noProof/>
          <w:szCs w:val="22"/>
        </w:rPr>
        <w:t>Le cahier des charges de la concession de distribution publique d’énergie électrique signé entre l’Autorité Concédante et le Concessionnaire, prévoit en application de son article 8, de définir un programme de travaux d’intégration dans l’environnement de l’ensemble des ouvrages de distribution publique. Il prévoit également que les modalités de versement de la participation du concessionnaire (montant annuel, programme, etc.) sont à définir entre les parties.</w:t>
      </w:r>
    </w:p>
    <w:p w:rsidR="00902F0C" w:rsidRPr="00902F0C" w:rsidRDefault="00902F0C" w:rsidP="00902F0C">
      <w:pPr>
        <w:overflowPunct w:val="0"/>
        <w:autoSpaceDE w:val="0"/>
        <w:autoSpaceDN w:val="0"/>
        <w:adjustRightInd w:val="0"/>
        <w:ind w:right="6"/>
        <w:textAlignment w:val="baseline"/>
        <w:rPr>
          <w:rFonts w:eastAsia="Times New Roman" w:cs="Arial"/>
          <w:noProof/>
          <w:szCs w:val="22"/>
        </w:rPr>
      </w:pPr>
    </w:p>
    <w:p w:rsidR="00902F0C" w:rsidRPr="00902F0C" w:rsidRDefault="00902F0C" w:rsidP="00902F0C">
      <w:pPr>
        <w:overflowPunct w:val="0"/>
        <w:autoSpaceDE w:val="0"/>
        <w:autoSpaceDN w:val="0"/>
        <w:adjustRightInd w:val="0"/>
        <w:spacing w:before="120"/>
        <w:ind w:right="8"/>
        <w:textAlignment w:val="baseline"/>
        <w:rPr>
          <w:rFonts w:eastAsia="Times New Roman" w:cs="Arial"/>
          <w:noProof/>
          <w:szCs w:val="22"/>
        </w:rPr>
      </w:pPr>
      <w:r w:rsidRPr="00902F0C">
        <w:rPr>
          <w:rFonts w:eastAsia="Times New Roman" w:cs="Arial"/>
          <w:noProof/>
          <w:szCs w:val="22"/>
        </w:rPr>
        <w:t>Compte tenu du nombre important de demandes d’effacement des réseaux à traiter annuellement, l’autorité concédante souhaite conforter les engagements financiers des parties au service de ces projets à finalité esthétique.</w:t>
      </w:r>
    </w:p>
    <w:p w:rsidR="00902F0C" w:rsidRPr="00902F0C" w:rsidRDefault="00902F0C" w:rsidP="00902F0C">
      <w:pPr>
        <w:overflowPunct w:val="0"/>
        <w:autoSpaceDE w:val="0"/>
        <w:autoSpaceDN w:val="0"/>
        <w:adjustRightInd w:val="0"/>
        <w:ind w:right="6"/>
        <w:textAlignment w:val="baseline"/>
        <w:rPr>
          <w:rFonts w:eastAsia="Times New Roman" w:cs="Arial"/>
          <w:noProof/>
          <w:szCs w:val="22"/>
        </w:rPr>
      </w:pPr>
    </w:p>
    <w:p w:rsidR="00902F0C" w:rsidRPr="00902F0C" w:rsidRDefault="00902F0C" w:rsidP="00902F0C">
      <w:pPr>
        <w:overflowPunct w:val="0"/>
        <w:autoSpaceDE w:val="0"/>
        <w:autoSpaceDN w:val="0"/>
        <w:adjustRightInd w:val="0"/>
        <w:spacing w:before="120"/>
        <w:ind w:right="8"/>
        <w:textAlignment w:val="baseline"/>
        <w:rPr>
          <w:rFonts w:eastAsia="Times New Roman" w:cs="Arial"/>
          <w:noProof/>
          <w:szCs w:val="22"/>
        </w:rPr>
      </w:pPr>
      <w:r w:rsidRPr="00902F0C">
        <w:rPr>
          <w:rFonts w:eastAsia="Times New Roman" w:cs="Arial"/>
          <w:noProof/>
          <w:szCs w:val="22"/>
        </w:rPr>
        <w:t xml:space="preserve">Le concessionnaire souhaite globaliser, dans le cadre de l’article 8 du cahier des charges, l’ensemble de ses participations financières relatives à l’amélioration esthétique des ouvrages concédés. Il entend par ailleurs faciliter la gestion financière de ses participations en les inscrivant dans ses cycles annuels comptables et </w:t>
      </w:r>
      <w:r w:rsidRPr="00902F0C">
        <w:rPr>
          <w:rFonts w:eastAsia="Times New Roman" w:cs="Arial"/>
          <w:noProof/>
          <w:szCs w:val="22"/>
        </w:rPr>
        <w:lastRenderedPageBreak/>
        <w:t>budgétaires (prévision et gestion de ses enveloppes annuelles d’investissement, immobilisations des participations du concessionnaire).</w:t>
      </w:r>
    </w:p>
    <w:p w:rsidR="00902F0C" w:rsidRPr="00902F0C" w:rsidRDefault="00902F0C" w:rsidP="002D2150">
      <w:pPr>
        <w:overflowPunct w:val="0"/>
        <w:autoSpaceDE w:val="0"/>
        <w:autoSpaceDN w:val="0"/>
        <w:adjustRightInd w:val="0"/>
        <w:ind w:right="8"/>
        <w:textAlignment w:val="baseline"/>
        <w:rPr>
          <w:rFonts w:eastAsia="Times New Roman" w:cs="Arial"/>
          <w:noProof/>
          <w:szCs w:val="22"/>
        </w:rPr>
      </w:pPr>
    </w:p>
    <w:p w:rsidR="00902F0C" w:rsidRDefault="00902F0C" w:rsidP="002D2150">
      <w:pPr>
        <w:keepNext/>
        <w:keepLines/>
        <w:overflowPunct w:val="0"/>
        <w:autoSpaceDE w:val="0"/>
        <w:autoSpaceDN w:val="0"/>
        <w:adjustRightInd w:val="0"/>
        <w:ind w:left="301" w:right="6" w:hanging="301"/>
        <w:textAlignment w:val="baseline"/>
        <w:rPr>
          <w:rFonts w:eastAsia="Times New Roman" w:cs="Arial"/>
          <w:b/>
          <w:noProof/>
          <w:szCs w:val="22"/>
        </w:rPr>
      </w:pPr>
      <w:r w:rsidRPr="00902F0C">
        <w:rPr>
          <w:rFonts w:eastAsia="Times New Roman" w:cs="Arial"/>
          <w:b/>
          <w:noProof/>
          <w:szCs w:val="22"/>
        </w:rPr>
        <w:t>Ceci exposé, il a été convenu ce qui suit :</w:t>
      </w:r>
    </w:p>
    <w:p w:rsidR="00902F0C" w:rsidRPr="00902F0C" w:rsidRDefault="00902F0C" w:rsidP="002D2150">
      <w:pPr>
        <w:keepNext/>
        <w:keepLines/>
        <w:overflowPunct w:val="0"/>
        <w:autoSpaceDE w:val="0"/>
        <w:autoSpaceDN w:val="0"/>
        <w:adjustRightInd w:val="0"/>
        <w:ind w:left="301" w:right="6" w:hanging="301"/>
        <w:textAlignment w:val="baseline"/>
        <w:rPr>
          <w:rFonts w:eastAsia="Times New Roman" w:cs="Arial"/>
          <w:noProof/>
          <w:szCs w:val="22"/>
        </w:rPr>
      </w:pPr>
    </w:p>
    <w:p w:rsidR="00902F0C" w:rsidRPr="00902F0C" w:rsidRDefault="00902F0C" w:rsidP="00902F0C">
      <w:pPr>
        <w:keepNext/>
        <w:overflowPunct w:val="0"/>
        <w:autoSpaceDE w:val="0"/>
        <w:autoSpaceDN w:val="0"/>
        <w:adjustRightInd w:val="0"/>
        <w:ind w:left="1661" w:right="6" w:hanging="1661"/>
        <w:textAlignment w:val="baseline"/>
        <w:rPr>
          <w:rFonts w:eastAsia="Times New Roman" w:cs="Arial"/>
          <w:b/>
          <w:noProof/>
          <w:szCs w:val="22"/>
          <w:u w:val="single"/>
        </w:rPr>
      </w:pPr>
      <w:r w:rsidRPr="00902F0C">
        <w:rPr>
          <w:rFonts w:eastAsia="Times New Roman" w:cs="Arial"/>
          <w:b/>
          <w:noProof/>
          <w:szCs w:val="22"/>
          <w:u w:val="single"/>
        </w:rPr>
        <w:t>ARTICLE 1 -</w:t>
      </w:r>
      <w:r w:rsidRPr="00902F0C">
        <w:rPr>
          <w:rFonts w:eastAsia="Times New Roman" w:cs="Arial"/>
          <w:b/>
          <w:noProof/>
          <w:szCs w:val="22"/>
          <w:u w:val="single"/>
        </w:rPr>
        <w:tab/>
        <w:t>Objet et durée de la convention</w:t>
      </w:r>
    </w:p>
    <w:p w:rsidR="00902F0C" w:rsidRPr="00902F0C" w:rsidRDefault="00902F0C" w:rsidP="002D2150">
      <w:pPr>
        <w:overflowPunct w:val="0"/>
        <w:autoSpaceDE w:val="0"/>
        <w:autoSpaceDN w:val="0"/>
        <w:adjustRightInd w:val="0"/>
        <w:ind w:right="8"/>
        <w:textAlignment w:val="baseline"/>
        <w:rPr>
          <w:rFonts w:eastAsia="Times New Roman" w:cs="Arial"/>
          <w:noProof/>
          <w:szCs w:val="22"/>
        </w:rPr>
      </w:pPr>
    </w:p>
    <w:p w:rsidR="00902F0C" w:rsidRPr="00902F0C" w:rsidRDefault="00902F0C" w:rsidP="002D2150">
      <w:pPr>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La présente convention a pour objet de définir, en application du cahier des charges de concession, les modalités de la participation du concessionnaire au financement de travaux dont l’autorité concédante est maître d’ouvrage, et destinés à l’amélioration esthétique des ouvrages de la concession.</w:t>
      </w:r>
    </w:p>
    <w:p w:rsidR="00902F0C" w:rsidRPr="00902F0C" w:rsidRDefault="00902F0C" w:rsidP="00902F0C">
      <w:pPr>
        <w:overflowPunct w:val="0"/>
        <w:autoSpaceDE w:val="0"/>
        <w:autoSpaceDN w:val="0"/>
        <w:adjustRightInd w:val="0"/>
        <w:spacing w:before="120"/>
        <w:ind w:right="8"/>
        <w:textAlignment w:val="baseline"/>
        <w:rPr>
          <w:rFonts w:eastAsia="Times New Roman" w:cs="Arial"/>
          <w:noProof/>
          <w:szCs w:val="22"/>
        </w:rPr>
      </w:pPr>
      <w:r w:rsidRPr="00902F0C">
        <w:rPr>
          <w:rFonts w:eastAsia="Times New Roman" w:cs="Arial"/>
          <w:noProof/>
          <w:szCs w:val="22"/>
        </w:rPr>
        <w:t>Elle est conclue pour la période allant du 1</w:t>
      </w:r>
      <w:r w:rsidRPr="00902F0C">
        <w:rPr>
          <w:rFonts w:eastAsia="Times New Roman" w:cs="Arial"/>
          <w:noProof/>
          <w:szCs w:val="22"/>
          <w:vertAlign w:val="superscript"/>
        </w:rPr>
        <w:t>er</w:t>
      </w:r>
      <w:r w:rsidRPr="00902F0C">
        <w:rPr>
          <w:rFonts w:eastAsia="Times New Roman" w:cs="Arial"/>
          <w:noProof/>
          <w:szCs w:val="22"/>
        </w:rPr>
        <w:t xml:space="preserve"> janvier 2018 au 31 décembre 2019 et prendra effet dés l’accomplissement des formalités de transmission au contrôle de légalité.</w:t>
      </w:r>
    </w:p>
    <w:p w:rsidR="00902F0C" w:rsidRDefault="00902F0C" w:rsidP="00902F0C">
      <w:pPr>
        <w:overflowPunct w:val="0"/>
        <w:autoSpaceDE w:val="0"/>
        <w:autoSpaceDN w:val="0"/>
        <w:adjustRightInd w:val="0"/>
        <w:spacing w:before="120"/>
        <w:ind w:right="8"/>
        <w:textAlignment w:val="baseline"/>
        <w:rPr>
          <w:rFonts w:eastAsia="Times New Roman" w:cs="Arial"/>
          <w:noProof/>
          <w:szCs w:val="22"/>
        </w:rPr>
      </w:pPr>
      <w:r w:rsidRPr="00902F0C">
        <w:rPr>
          <w:rFonts w:eastAsia="Times New Roman" w:cs="Arial"/>
          <w:noProof/>
          <w:szCs w:val="22"/>
        </w:rPr>
        <w:t>Les parties se rencontreront durant le 3</w:t>
      </w:r>
      <w:r w:rsidRPr="00902F0C">
        <w:rPr>
          <w:rFonts w:eastAsia="Times New Roman" w:cs="Arial"/>
          <w:noProof/>
          <w:szCs w:val="22"/>
          <w:vertAlign w:val="superscript"/>
        </w:rPr>
        <w:t>ème</w:t>
      </w:r>
      <w:r w:rsidRPr="00902F0C">
        <w:rPr>
          <w:rFonts w:eastAsia="Times New Roman" w:cs="Arial"/>
          <w:noProof/>
          <w:szCs w:val="22"/>
        </w:rPr>
        <w:t xml:space="preserve"> trimestre 2019  pour examiner une suite à donner à la présente convention en considérant le bilan de son application et  les éventuels nouveaux accords nationaux entre la FNCCR et Enedis.</w:t>
      </w:r>
    </w:p>
    <w:p w:rsidR="002D2150" w:rsidRPr="00902F0C" w:rsidRDefault="002D2150" w:rsidP="00902F0C">
      <w:pPr>
        <w:overflowPunct w:val="0"/>
        <w:autoSpaceDE w:val="0"/>
        <w:autoSpaceDN w:val="0"/>
        <w:adjustRightInd w:val="0"/>
        <w:spacing w:before="120"/>
        <w:ind w:right="8"/>
        <w:textAlignment w:val="baseline"/>
        <w:rPr>
          <w:rFonts w:eastAsia="Times New Roman" w:cs="Arial"/>
          <w:noProof/>
          <w:szCs w:val="22"/>
        </w:rPr>
      </w:pPr>
    </w:p>
    <w:p w:rsidR="00902F0C" w:rsidRPr="00902F0C" w:rsidRDefault="00902F0C" w:rsidP="002D2150">
      <w:pPr>
        <w:overflowPunct w:val="0"/>
        <w:autoSpaceDE w:val="0"/>
        <w:autoSpaceDN w:val="0"/>
        <w:adjustRightInd w:val="0"/>
        <w:ind w:left="1661" w:right="6" w:hanging="1661"/>
        <w:textAlignment w:val="baseline"/>
        <w:rPr>
          <w:rFonts w:eastAsia="Times New Roman" w:cs="Arial"/>
          <w:b/>
          <w:noProof/>
          <w:szCs w:val="22"/>
          <w:u w:val="single"/>
        </w:rPr>
      </w:pPr>
      <w:r w:rsidRPr="00902F0C">
        <w:rPr>
          <w:rFonts w:eastAsia="Times New Roman" w:cs="Arial"/>
          <w:b/>
          <w:noProof/>
          <w:szCs w:val="22"/>
          <w:u w:val="single"/>
        </w:rPr>
        <w:t>ARTICLE 2 -</w:t>
      </w:r>
      <w:r w:rsidRPr="00902F0C">
        <w:rPr>
          <w:rFonts w:eastAsia="Times New Roman" w:cs="Arial"/>
          <w:b/>
          <w:noProof/>
          <w:szCs w:val="22"/>
          <w:u w:val="single"/>
        </w:rPr>
        <w:tab/>
        <w:t>Principes généraux</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Le concessionnaire participera, à hauteur de 40% du coût hors TVA, au financement de travaux réalisés sous la maîtrise d’ouvrage de l’autorité concédante et destinés à l’amélioration esthétique des ouvrages de la concession.</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902F0C">
      <w:pPr>
        <w:overflowPunct w:val="0"/>
        <w:autoSpaceDE w:val="0"/>
        <w:autoSpaceDN w:val="0"/>
        <w:adjustRightInd w:val="0"/>
        <w:textAlignment w:val="baseline"/>
        <w:rPr>
          <w:rFonts w:eastAsia="Times New Roman" w:cs="Arial"/>
          <w:noProof/>
          <w:szCs w:val="22"/>
        </w:rPr>
      </w:pPr>
      <w:r w:rsidRPr="00902F0C">
        <w:rPr>
          <w:rFonts w:eastAsia="Times New Roman" w:cs="Arial"/>
          <w:noProof/>
          <w:szCs w:val="22"/>
        </w:rPr>
        <w:t>Sont exclus du champ d’application de la présente convention :</w:t>
      </w:r>
    </w:p>
    <w:p w:rsidR="00902F0C" w:rsidRPr="00902F0C" w:rsidRDefault="00902F0C" w:rsidP="00902F0C">
      <w:pPr>
        <w:overflowPunct w:val="0"/>
        <w:autoSpaceDE w:val="0"/>
        <w:autoSpaceDN w:val="0"/>
        <w:adjustRightInd w:val="0"/>
        <w:textAlignment w:val="baseline"/>
        <w:rPr>
          <w:rFonts w:eastAsia="Times New Roman" w:cs="Arial"/>
          <w:noProof/>
          <w:szCs w:val="22"/>
        </w:rPr>
      </w:pPr>
    </w:p>
    <w:p w:rsidR="00902F0C" w:rsidRPr="00902F0C" w:rsidRDefault="00902F0C" w:rsidP="00130F35">
      <w:pPr>
        <w:numPr>
          <w:ilvl w:val="0"/>
          <w:numId w:val="19"/>
        </w:numPr>
        <w:overflowPunct w:val="0"/>
        <w:autoSpaceDE w:val="0"/>
        <w:autoSpaceDN w:val="0"/>
        <w:adjustRightInd w:val="0"/>
        <w:textAlignment w:val="baseline"/>
        <w:rPr>
          <w:rFonts w:eastAsia="Times New Roman" w:cs="Arial"/>
          <w:noProof/>
          <w:szCs w:val="22"/>
        </w:rPr>
      </w:pPr>
      <w:r w:rsidRPr="00902F0C">
        <w:rPr>
          <w:rFonts w:eastAsia="Times New Roman" w:cs="Arial"/>
          <w:noProof/>
          <w:szCs w:val="22"/>
        </w:rPr>
        <w:t>les travaux inclus dans des programmes aidés par le FACE,</w:t>
      </w:r>
    </w:p>
    <w:p w:rsidR="00902F0C" w:rsidRPr="00902F0C" w:rsidRDefault="00902F0C" w:rsidP="00130F35">
      <w:pPr>
        <w:numPr>
          <w:ilvl w:val="0"/>
          <w:numId w:val="19"/>
        </w:numPr>
        <w:overflowPunct w:val="0"/>
        <w:autoSpaceDE w:val="0"/>
        <w:autoSpaceDN w:val="0"/>
        <w:adjustRightInd w:val="0"/>
        <w:textAlignment w:val="baseline"/>
        <w:rPr>
          <w:rFonts w:eastAsia="Times New Roman" w:cs="Arial"/>
          <w:noProof/>
          <w:szCs w:val="22"/>
        </w:rPr>
      </w:pPr>
      <w:r w:rsidRPr="00902F0C">
        <w:rPr>
          <w:rFonts w:eastAsia="Times New Roman" w:cs="Arial"/>
          <w:noProof/>
          <w:szCs w:val="22"/>
        </w:rPr>
        <w:t>les travaux inclus dans les programmes de péréquation des charges d’investissement financés avec le concours du distributeur d’électricité (Fond SITE par exemple)</w:t>
      </w:r>
    </w:p>
    <w:p w:rsidR="00902F0C" w:rsidRPr="00902F0C" w:rsidRDefault="00902F0C" w:rsidP="00902F0C">
      <w:pPr>
        <w:overflowPunct w:val="0"/>
        <w:autoSpaceDE w:val="0"/>
        <w:autoSpaceDN w:val="0"/>
        <w:adjustRightInd w:val="0"/>
        <w:textAlignment w:val="baseline"/>
        <w:rPr>
          <w:rFonts w:eastAsia="Times New Roman" w:cs="Arial"/>
          <w:noProof/>
          <w:szCs w:val="22"/>
        </w:rPr>
      </w:pPr>
    </w:p>
    <w:p w:rsidR="00902F0C" w:rsidRPr="00902F0C" w:rsidRDefault="00902F0C" w:rsidP="00902F0C">
      <w:pPr>
        <w:overflowPunct w:val="0"/>
        <w:autoSpaceDE w:val="0"/>
        <w:autoSpaceDN w:val="0"/>
        <w:adjustRightInd w:val="0"/>
        <w:textAlignment w:val="baseline"/>
        <w:rPr>
          <w:rFonts w:eastAsia="Times New Roman" w:cs="Arial"/>
          <w:b/>
          <w:bCs/>
          <w:noProof/>
          <w:szCs w:val="22"/>
          <w:u w:val="single"/>
        </w:rPr>
      </w:pPr>
      <w:r w:rsidRPr="00902F0C">
        <w:rPr>
          <w:rFonts w:eastAsia="Times New Roman" w:cs="Arial"/>
          <w:b/>
          <w:bCs/>
          <w:noProof/>
          <w:szCs w:val="22"/>
          <w:u w:val="single"/>
        </w:rPr>
        <w:t xml:space="preserve">Article 2-1 : Montant de la participation financière </w:t>
      </w:r>
    </w:p>
    <w:p w:rsidR="00902F0C" w:rsidRPr="00902F0C" w:rsidRDefault="00902F0C" w:rsidP="002D2150">
      <w:pPr>
        <w:overflowPunct w:val="0"/>
        <w:autoSpaceDE w:val="0"/>
        <w:autoSpaceDN w:val="0"/>
        <w:adjustRightInd w:val="0"/>
        <w:ind w:right="6" w:firstLine="357"/>
        <w:textAlignment w:val="baseline"/>
        <w:rPr>
          <w:rFonts w:eastAsia="Times New Roman" w:cs="Arial"/>
          <w:b/>
          <w:bCs/>
          <w:noProof/>
          <w:szCs w:val="22"/>
          <w:u w:val="single"/>
        </w:rPr>
      </w:pP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 xml:space="preserve">Le montant annuel de la participation financière du concessionnaire est fixé à           515 000 Euros (cinq cent quinze mille Euros) pour les années 2018 et 2019 soit 1 030 000 Euros (un million trente mille Euros) au total sur la durée de la convention. Cette participation est affectable à l’ensemble des communes du département d’Ille et Vilaine, à l’exception de la ville de Rennes faisant l’objet d’une convention séparée. </w:t>
      </w:r>
    </w:p>
    <w:p w:rsidR="00902F0C" w:rsidRPr="00902F0C" w:rsidRDefault="00902F0C" w:rsidP="00902F0C">
      <w:p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Le dernier versement  de la participation du concessionnaire au titre de la présente convention interviendra au plus tard un mois après le dernier appel de fonds intervenu en décembre de chaque année sans possibilité de report de tout ou partie du montant annuel sus mentionné au-delà de cette échéance.</w:t>
      </w:r>
    </w:p>
    <w:p w:rsidR="00902F0C" w:rsidRPr="00902F0C" w:rsidRDefault="00902F0C" w:rsidP="00902F0C">
      <w:p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La contribution financière du concessionnaire est inéligible à l’assiette de la redevance R2.</w:t>
      </w:r>
    </w:p>
    <w:p w:rsidR="00902F0C" w:rsidRPr="00902F0C" w:rsidRDefault="00902F0C" w:rsidP="00902F0C">
      <w:pPr>
        <w:overflowPunct w:val="0"/>
        <w:autoSpaceDE w:val="0"/>
        <w:autoSpaceDN w:val="0"/>
        <w:adjustRightInd w:val="0"/>
        <w:ind w:right="6"/>
        <w:textAlignment w:val="baseline"/>
        <w:rPr>
          <w:rFonts w:eastAsia="Times New Roman" w:cs="Arial"/>
          <w:noProof/>
          <w:szCs w:val="22"/>
        </w:rPr>
      </w:pPr>
    </w:p>
    <w:p w:rsidR="00902F0C" w:rsidRDefault="00902F0C" w:rsidP="00902F0C">
      <w:pPr>
        <w:overflowPunct w:val="0"/>
        <w:autoSpaceDE w:val="0"/>
        <w:autoSpaceDN w:val="0"/>
        <w:adjustRightInd w:val="0"/>
        <w:ind w:right="6" w:firstLine="357"/>
        <w:textAlignment w:val="baseline"/>
        <w:rPr>
          <w:rFonts w:eastAsia="Times New Roman" w:cs="Arial"/>
          <w:b/>
          <w:bCs/>
          <w:noProof/>
          <w:szCs w:val="22"/>
          <w:u w:val="single"/>
        </w:rPr>
      </w:pPr>
      <w:r w:rsidRPr="00902F0C">
        <w:rPr>
          <w:rFonts w:eastAsia="Times New Roman" w:cs="Arial"/>
          <w:b/>
          <w:bCs/>
          <w:noProof/>
          <w:szCs w:val="22"/>
          <w:u w:val="single"/>
        </w:rPr>
        <w:t xml:space="preserve">Article 2-2 : Modalités particulières d’affectation </w:t>
      </w:r>
    </w:p>
    <w:p w:rsidR="002D2150" w:rsidRPr="00902F0C" w:rsidRDefault="002D2150" w:rsidP="00902F0C">
      <w:pPr>
        <w:overflowPunct w:val="0"/>
        <w:autoSpaceDE w:val="0"/>
        <w:autoSpaceDN w:val="0"/>
        <w:adjustRightInd w:val="0"/>
        <w:ind w:right="6" w:firstLine="357"/>
        <w:textAlignment w:val="baseline"/>
        <w:rPr>
          <w:rFonts w:eastAsia="Times New Roman" w:cs="Arial"/>
          <w:b/>
          <w:bCs/>
          <w:noProof/>
          <w:szCs w:val="22"/>
          <w:u w:val="single"/>
        </w:rPr>
      </w:pPr>
    </w:p>
    <w:p w:rsidR="00902F0C" w:rsidRPr="00902F0C" w:rsidRDefault="00902F0C" w:rsidP="00902F0C">
      <w:pPr>
        <w:overflowPunct w:val="0"/>
        <w:autoSpaceDE w:val="0"/>
        <w:autoSpaceDN w:val="0"/>
        <w:adjustRightInd w:val="0"/>
        <w:ind w:right="6"/>
        <w:textAlignment w:val="baseline"/>
        <w:rPr>
          <w:rFonts w:eastAsia="Times New Roman" w:cs="Arial"/>
          <w:b/>
          <w:bCs/>
          <w:noProof/>
          <w:szCs w:val="22"/>
        </w:rPr>
      </w:pPr>
      <w:r w:rsidRPr="00902F0C">
        <w:rPr>
          <w:rFonts w:eastAsia="Times New Roman" w:cs="Arial"/>
          <w:b/>
          <w:bCs/>
          <w:noProof/>
          <w:szCs w:val="22"/>
        </w:rPr>
        <w:t xml:space="preserve">Contribution des affaires à la sécurisation des réseaux </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Afin de rechercher une synergie entre les actions en matière d’environnement et d’enfouissement des réseaux d’une part, et la sûreté d’alimentation d’autre part, il est entendu que l’autorité concédante tiendra compte, dans la mesure du possible, des critères suivants dans le choix des opérations de son  programme travaux :</w:t>
      </w:r>
    </w:p>
    <w:p w:rsidR="00902F0C" w:rsidRPr="00902F0C" w:rsidRDefault="00902F0C" w:rsidP="00130F35">
      <w:pPr>
        <w:numPr>
          <w:ilvl w:val="0"/>
          <w:numId w:val="21"/>
        </w:num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exposition aux aléas climatiques particulièrement pour les réseaux en fils nus,</w:t>
      </w:r>
    </w:p>
    <w:p w:rsidR="00902F0C" w:rsidRPr="00902F0C" w:rsidRDefault="00902F0C" w:rsidP="00130F35">
      <w:pPr>
        <w:numPr>
          <w:ilvl w:val="0"/>
          <w:numId w:val="21"/>
        </w:num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pertinence avec le nombre et les caractéristiques des clients concernés,</w:t>
      </w:r>
    </w:p>
    <w:p w:rsidR="00902F0C" w:rsidRPr="00902F0C" w:rsidRDefault="00902F0C" w:rsidP="00130F35">
      <w:pPr>
        <w:numPr>
          <w:ilvl w:val="0"/>
          <w:numId w:val="21"/>
        </w:num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cohérence avec les possibilités d’alimentation amont en cas de situations fortement dégradées.</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2D2150">
      <w:pPr>
        <w:overflowPunct w:val="0"/>
        <w:autoSpaceDE w:val="0"/>
        <w:autoSpaceDN w:val="0"/>
        <w:adjustRightInd w:val="0"/>
        <w:ind w:left="1661" w:right="6" w:hanging="1661"/>
        <w:textAlignment w:val="baseline"/>
        <w:rPr>
          <w:rFonts w:eastAsia="Times New Roman" w:cs="Arial"/>
          <w:b/>
          <w:noProof/>
          <w:szCs w:val="22"/>
          <w:u w:val="single"/>
        </w:rPr>
      </w:pPr>
      <w:r w:rsidRPr="00902F0C">
        <w:rPr>
          <w:rFonts w:eastAsia="Times New Roman" w:cs="Arial"/>
          <w:b/>
          <w:noProof/>
          <w:szCs w:val="22"/>
          <w:u w:val="single"/>
        </w:rPr>
        <w:lastRenderedPageBreak/>
        <w:t>ARTICLE 3 -</w:t>
      </w:r>
      <w:r w:rsidRPr="00902F0C">
        <w:rPr>
          <w:rFonts w:eastAsia="Times New Roman" w:cs="Arial"/>
          <w:b/>
          <w:noProof/>
          <w:szCs w:val="22"/>
          <w:u w:val="single"/>
        </w:rPr>
        <w:tab/>
        <w:t>Répartition annuelle</w:t>
      </w:r>
    </w:p>
    <w:p w:rsidR="00902F0C" w:rsidRPr="00902F0C" w:rsidRDefault="00902F0C" w:rsidP="002D2150">
      <w:pPr>
        <w:keepNext/>
        <w:keepLines/>
        <w:overflowPunct w:val="0"/>
        <w:autoSpaceDE w:val="0"/>
        <w:autoSpaceDN w:val="0"/>
        <w:adjustRightInd w:val="0"/>
        <w:ind w:right="6"/>
        <w:textAlignment w:val="baseline"/>
        <w:rPr>
          <w:rFonts w:eastAsia="Times New Roman" w:cs="Arial"/>
          <w:noProof/>
          <w:szCs w:val="22"/>
        </w:rPr>
      </w:pPr>
    </w:p>
    <w:p w:rsidR="00902F0C" w:rsidRPr="00902F0C" w:rsidRDefault="00902F0C" w:rsidP="002D2150">
      <w:pPr>
        <w:keepNext/>
        <w:keepLines/>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La répartition annuelle de la participation du concessionnaire définie à l’article 2 sera arrêtée selon les modalités suivantes :</w:t>
      </w:r>
    </w:p>
    <w:p w:rsidR="00902F0C" w:rsidRPr="00902F0C" w:rsidRDefault="00902F0C" w:rsidP="00130F35">
      <w:pPr>
        <w:numPr>
          <w:ilvl w:val="0"/>
          <w:numId w:val="20"/>
        </w:num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Le programme définitif annuel sera établi au plus tard en mars de chaque année. Il pourra ainsi être ajusté d’un commun accord pour permettre d’optimiser l’utilisation des participations du concessionnaire prévues à l’article 2.1 .</w:t>
      </w:r>
    </w:p>
    <w:p w:rsidR="00902F0C" w:rsidRDefault="00902F0C" w:rsidP="00130F35">
      <w:pPr>
        <w:numPr>
          <w:ilvl w:val="0"/>
          <w:numId w:val="20"/>
        </w:num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 xml:space="preserve">Au 30 novembre de chaque année, il sera procédé à un bilan financier des dépenses faites par les parties au titre de la présente convention. </w:t>
      </w:r>
    </w:p>
    <w:p w:rsidR="002D2150" w:rsidRPr="00902F0C" w:rsidRDefault="002D2150" w:rsidP="002D2150">
      <w:pPr>
        <w:overflowPunct w:val="0"/>
        <w:autoSpaceDE w:val="0"/>
        <w:autoSpaceDN w:val="0"/>
        <w:adjustRightInd w:val="0"/>
        <w:ind w:left="720" w:right="6"/>
        <w:textAlignment w:val="baseline"/>
        <w:rPr>
          <w:rFonts w:eastAsia="Times New Roman" w:cs="Arial"/>
          <w:noProof/>
          <w:szCs w:val="22"/>
        </w:rPr>
      </w:pPr>
    </w:p>
    <w:p w:rsidR="00902F0C" w:rsidRPr="00902F0C" w:rsidRDefault="00902F0C" w:rsidP="002D2150">
      <w:pPr>
        <w:overflowPunct w:val="0"/>
        <w:autoSpaceDE w:val="0"/>
        <w:autoSpaceDN w:val="0"/>
        <w:adjustRightInd w:val="0"/>
        <w:ind w:left="1661" w:right="6" w:hanging="1661"/>
        <w:textAlignment w:val="baseline"/>
        <w:rPr>
          <w:rFonts w:eastAsia="Times New Roman" w:cs="Arial"/>
          <w:b/>
          <w:noProof/>
          <w:szCs w:val="22"/>
          <w:u w:val="single"/>
        </w:rPr>
      </w:pPr>
      <w:r w:rsidRPr="00902F0C">
        <w:rPr>
          <w:rFonts w:eastAsia="Times New Roman" w:cs="Arial"/>
          <w:b/>
          <w:noProof/>
          <w:szCs w:val="22"/>
          <w:u w:val="single"/>
        </w:rPr>
        <w:t>ARTICLE 4-</w:t>
      </w:r>
      <w:r w:rsidRPr="00902F0C">
        <w:rPr>
          <w:rFonts w:eastAsia="Times New Roman" w:cs="Arial"/>
          <w:b/>
          <w:noProof/>
          <w:szCs w:val="22"/>
          <w:u w:val="single"/>
        </w:rPr>
        <w:tab/>
        <w:t>Modalités de règlement de la participation financière par Enedis</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2D2150">
      <w:pPr>
        <w:overflowPunct w:val="0"/>
        <w:autoSpaceDE w:val="0"/>
        <w:autoSpaceDN w:val="0"/>
        <w:adjustRightInd w:val="0"/>
        <w:ind w:right="6"/>
        <w:textAlignment w:val="baseline"/>
        <w:rPr>
          <w:rFonts w:eastAsia="Times New Roman" w:cs="Arial"/>
          <w:b/>
          <w:bCs/>
          <w:noProof/>
          <w:szCs w:val="22"/>
          <w:u w:val="single"/>
        </w:rPr>
      </w:pPr>
      <w:r w:rsidRPr="00902F0C">
        <w:rPr>
          <w:rFonts w:eastAsia="Times New Roman" w:cs="Arial"/>
          <w:noProof/>
          <w:szCs w:val="22"/>
        </w:rPr>
        <w:t>Le versement de 40% du montant HT des travaux par Enedis au maître d’ouvrage sera fait sur présentation d’un tableau récapitulatif des opérations comportant le montant des dépenses réalisées après achèvement des travaux et remise des ouvrages à l’exploitant.</w:t>
      </w:r>
    </w:p>
    <w:p w:rsidR="00902F0C" w:rsidRPr="00902F0C" w:rsidRDefault="00902F0C" w:rsidP="00902F0C">
      <w:pPr>
        <w:keepNext/>
        <w:keepLines/>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L’autorité concédante s’engage à fournir au concessionnaire un courrier signé  par son Président attestant de l’effectivité et de l’éligibilité aux participations dites « article 8 » du concessionnaire des dépenses déclarées pour chacune des opérations du programme travaux objet de la présente convention.</w:t>
      </w:r>
    </w:p>
    <w:p w:rsidR="00902F0C" w:rsidRPr="00902F0C" w:rsidRDefault="00902F0C" w:rsidP="00902F0C">
      <w:p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Le concessionnaire s’engage à effectuer le règlement de sa participation dans le délai d’un mois après réception des appels de fonds. Le dernier appel de fond doit parvenir au concessionnaire au plus tard le 18 Décembre de chaque année. Tout décompte général définitif non refusé dans un délai de quinze jours sera réputé accepté par le concessionnaire.</w:t>
      </w:r>
    </w:p>
    <w:p w:rsidR="00902F0C" w:rsidRDefault="00902F0C" w:rsidP="002D2150">
      <w:p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En cas de retard du concessionnaire dans le versement de cette contribution, l’autorité concédante pourra, sauf si ce retard est de son fait, appliquer des intérêts de retard selon les dispositions de l’article 1153 du Code Civil.</w:t>
      </w:r>
    </w:p>
    <w:p w:rsidR="002D2150" w:rsidRPr="00902F0C" w:rsidRDefault="002D2150"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2D2150">
      <w:pPr>
        <w:overflowPunct w:val="0"/>
        <w:autoSpaceDE w:val="0"/>
        <w:autoSpaceDN w:val="0"/>
        <w:adjustRightInd w:val="0"/>
        <w:ind w:left="1661" w:right="6" w:hanging="1661"/>
        <w:textAlignment w:val="baseline"/>
        <w:rPr>
          <w:rFonts w:eastAsia="Times New Roman" w:cs="Arial"/>
          <w:b/>
          <w:noProof/>
          <w:szCs w:val="22"/>
          <w:u w:val="single"/>
        </w:rPr>
      </w:pPr>
      <w:r w:rsidRPr="00902F0C">
        <w:rPr>
          <w:rFonts w:eastAsia="Times New Roman" w:cs="Arial"/>
          <w:b/>
          <w:noProof/>
          <w:szCs w:val="22"/>
          <w:u w:val="single"/>
        </w:rPr>
        <w:t>ARTICLE 5 -</w:t>
      </w:r>
      <w:r w:rsidRPr="00902F0C">
        <w:rPr>
          <w:rFonts w:eastAsia="Times New Roman" w:cs="Arial"/>
          <w:b/>
          <w:noProof/>
          <w:szCs w:val="22"/>
          <w:u w:val="single"/>
        </w:rPr>
        <w:tab/>
        <w:t>Dispositions diverses</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2D2150">
      <w:pPr>
        <w:overflowPunct w:val="0"/>
        <w:autoSpaceDE w:val="0"/>
        <w:autoSpaceDN w:val="0"/>
        <w:adjustRightInd w:val="0"/>
        <w:ind w:right="6" w:firstLine="708"/>
        <w:textAlignment w:val="baseline"/>
        <w:rPr>
          <w:rFonts w:eastAsia="Times New Roman" w:cs="Arial"/>
          <w:b/>
          <w:bCs/>
          <w:noProof/>
          <w:szCs w:val="22"/>
          <w:u w:val="single"/>
        </w:rPr>
      </w:pPr>
      <w:r w:rsidRPr="00902F0C">
        <w:rPr>
          <w:rFonts w:eastAsia="Times New Roman" w:cs="Arial"/>
          <w:b/>
          <w:bCs/>
          <w:noProof/>
          <w:szCs w:val="22"/>
          <w:u w:val="single"/>
        </w:rPr>
        <w:t>Article 5-1 : Communication externe</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Chacune des parties s’engage à mentionner les partenaires financiers des chantiers dans toute action de communication externe valorisant cette convention et les opérations ainsi décidées.</w:t>
      </w:r>
    </w:p>
    <w:p w:rsidR="00902F0C" w:rsidRPr="00902F0C" w:rsidRDefault="00902F0C" w:rsidP="00902F0C">
      <w:p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Une plaquette pourra être réalisée et cofinancée d’un commun accord par les deux parties, mettant en avant (exemple : photos avant et après) l’amélioration esthétique obtenue par la réalisation des travaux au titre de la présente convention.</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2D2150">
      <w:pPr>
        <w:keepNext/>
        <w:overflowPunct w:val="0"/>
        <w:autoSpaceDE w:val="0"/>
        <w:autoSpaceDN w:val="0"/>
        <w:adjustRightInd w:val="0"/>
        <w:ind w:right="6" w:firstLine="709"/>
        <w:textAlignment w:val="baseline"/>
        <w:rPr>
          <w:rFonts w:eastAsia="Times New Roman" w:cs="Arial"/>
          <w:b/>
          <w:bCs/>
          <w:noProof/>
          <w:szCs w:val="22"/>
          <w:u w:val="single"/>
        </w:rPr>
      </w:pPr>
      <w:r w:rsidRPr="00902F0C">
        <w:rPr>
          <w:rFonts w:eastAsia="Times New Roman" w:cs="Arial"/>
          <w:b/>
          <w:bCs/>
          <w:noProof/>
          <w:szCs w:val="22"/>
          <w:u w:val="single"/>
        </w:rPr>
        <w:t>Article 5-2 : Terrassements sur chaque opération</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r w:rsidRPr="00902F0C">
        <w:rPr>
          <w:rFonts w:eastAsia="Times New Roman" w:cs="Arial"/>
          <w:noProof/>
          <w:szCs w:val="22"/>
        </w:rPr>
        <w:t>A l’occasion des travaux d’aménagement esthétique des réseaux, les collectivités locales ont le plus souvent la nécessité d’effectuer des terrassements en coordination pour différents réseaux.</w:t>
      </w:r>
    </w:p>
    <w:p w:rsidR="00902F0C" w:rsidRPr="00902F0C" w:rsidRDefault="00902F0C" w:rsidP="00902F0C">
      <w:p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La participation d’Enedis ne peut être versée que pour les travaux propres à l’aménagement esthétique des réseaux de distribution publique d’électricité.</w:t>
      </w:r>
    </w:p>
    <w:p w:rsidR="00902F0C" w:rsidRPr="00902F0C" w:rsidRDefault="00902F0C" w:rsidP="00902F0C">
      <w:p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L’autorité concédante atteste que les dépenses déclarées au titre de la présente convention rentrent bien dans le cadre précité.</w:t>
      </w:r>
    </w:p>
    <w:p w:rsidR="00902F0C" w:rsidRPr="00902F0C" w:rsidRDefault="00902F0C" w:rsidP="00902F0C">
      <w:pPr>
        <w:overflowPunct w:val="0"/>
        <w:autoSpaceDE w:val="0"/>
        <w:autoSpaceDN w:val="0"/>
        <w:adjustRightInd w:val="0"/>
        <w:ind w:right="8" w:firstLine="708"/>
        <w:textAlignment w:val="baseline"/>
        <w:rPr>
          <w:rFonts w:eastAsia="Times New Roman" w:cs="Arial"/>
          <w:b/>
          <w:bCs/>
          <w:noProof/>
          <w:szCs w:val="22"/>
          <w:u w:val="single"/>
        </w:rPr>
      </w:pPr>
    </w:p>
    <w:p w:rsidR="00902F0C" w:rsidRPr="00902F0C" w:rsidRDefault="00902F0C" w:rsidP="00902F0C">
      <w:pPr>
        <w:overflowPunct w:val="0"/>
        <w:autoSpaceDE w:val="0"/>
        <w:autoSpaceDN w:val="0"/>
        <w:adjustRightInd w:val="0"/>
        <w:ind w:right="8" w:firstLine="708"/>
        <w:textAlignment w:val="baseline"/>
        <w:rPr>
          <w:rFonts w:eastAsia="Times New Roman" w:cs="Arial"/>
          <w:b/>
          <w:bCs/>
          <w:noProof/>
          <w:szCs w:val="22"/>
          <w:u w:val="single"/>
        </w:rPr>
      </w:pPr>
      <w:r w:rsidRPr="00902F0C">
        <w:rPr>
          <w:rFonts w:eastAsia="Times New Roman" w:cs="Arial"/>
          <w:b/>
          <w:bCs/>
          <w:noProof/>
          <w:szCs w:val="22"/>
          <w:u w:val="single"/>
        </w:rPr>
        <w:t>Article 5-3 : Responsabilités</w:t>
      </w:r>
    </w:p>
    <w:p w:rsidR="00902F0C" w:rsidRPr="00902F0C" w:rsidRDefault="00902F0C" w:rsidP="00902F0C">
      <w:pPr>
        <w:overflowPunct w:val="0"/>
        <w:autoSpaceDE w:val="0"/>
        <w:autoSpaceDN w:val="0"/>
        <w:adjustRightInd w:val="0"/>
        <w:ind w:right="8" w:firstLine="708"/>
        <w:textAlignment w:val="baseline"/>
        <w:rPr>
          <w:rFonts w:eastAsia="Times New Roman" w:cs="Arial"/>
          <w:b/>
          <w:bCs/>
          <w:noProof/>
          <w:szCs w:val="22"/>
          <w:u w:val="single"/>
        </w:rPr>
      </w:pPr>
    </w:p>
    <w:p w:rsidR="00902F0C" w:rsidRPr="00902F0C" w:rsidRDefault="00902F0C" w:rsidP="00902F0C">
      <w:pPr>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Le concessionnaire n’intervenant que dans le financement des travaux visés par la présente convention, il ne sera pas responsable des dommages survenant lors de la réalisation des travaux.</w:t>
      </w:r>
    </w:p>
    <w:p w:rsidR="00902F0C" w:rsidRPr="00902F0C" w:rsidRDefault="00902F0C" w:rsidP="00902F0C">
      <w:pPr>
        <w:overflowPunct w:val="0"/>
        <w:autoSpaceDE w:val="0"/>
        <w:autoSpaceDN w:val="0"/>
        <w:adjustRightInd w:val="0"/>
        <w:ind w:right="8"/>
        <w:textAlignment w:val="baseline"/>
        <w:rPr>
          <w:rFonts w:eastAsia="Times New Roman"/>
          <w:noProof/>
          <w:szCs w:val="22"/>
        </w:rPr>
      </w:pPr>
    </w:p>
    <w:p w:rsidR="00902F0C" w:rsidRPr="00902F0C" w:rsidRDefault="00902F0C" w:rsidP="00902F0C">
      <w:pPr>
        <w:overflowPunct w:val="0"/>
        <w:autoSpaceDE w:val="0"/>
        <w:autoSpaceDN w:val="0"/>
        <w:adjustRightInd w:val="0"/>
        <w:ind w:right="8" w:firstLine="708"/>
        <w:textAlignment w:val="baseline"/>
        <w:rPr>
          <w:rFonts w:eastAsia="Times New Roman" w:cs="Arial"/>
          <w:b/>
          <w:bCs/>
          <w:noProof/>
          <w:szCs w:val="22"/>
          <w:u w:val="single"/>
        </w:rPr>
      </w:pPr>
      <w:r w:rsidRPr="00902F0C">
        <w:rPr>
          <w:rFonts w:eastAsia="Times New Roman" w:cs="Arial"/>
          <w:b/>
          <w:bCs/>
          <w:noProof/>
          <w:szCs w:val="22"/>
          <w:u w:val="single"/>
        </w:rPr>
        <w:t>Article 5-4 : Autres dispositions</w:t>
      </w:r>
    </w:p>
    <w:p w:rsidR="00902F0C" w:rsidRPr="00902F0C" w:rsidRDefault="00902F0C" w:rsidP="00902F0C">
      <w:pPr>
        <w:overflowPunct w:val="0"/>
        <w:autoSpaceDE w:val="0"/>
        <w:autoSpaceDN w:val="0"/>
        <w:adjustRightInd w:val="0"/>
        <w:ind w:right="8" w:firstLine="708"/>
        <w:textAlignment w:val="baseline"/>
        <w:rPr>
          <w:rFonts w:eastAsia="Times New Roman" w:cs="Arial"/>
          <w:b/>
          <w:bCs/>
          <w:noProof/>
          <w:szCs w:val="22"/>
          <w:u w:val="single"/>
        </w:rPr>
      </w:pPr>
    </w:p>
    <w:p w:rsidR="00902F0C" w:rsidRPr="00902F0C" w:rsidRDefault="00902F0C" w:rsidP="00902F0C">
      <w:pPr>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 xml:space="preserve">La présente convention prendra effet, à la date où l'autorité concédante aura accompli les formalités propres à la rendre exécutoire, pour une durée prenant fin le 31 décembre 2019. </w:t>
      </w:r>
    </w:p>
    <w:p w:rsidR="00902F0C" w:rsidRPr="00902F0C" w:rsidRDefault="00902F0C" w:rsidP="00902F0C">
      <w:pPr>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La présente convention, établie en triple exemplaires, est dispensée des droits d’enregistrement. Ces droits, s‘ils étaient perçus, seraient à la charge de celle des parties qui en aurait provoqué la perception.</w:t>
      </w:r>
    </w:p>
    <w:p w:rsidR="00902F0C" w:rsidRPr="00902F0C" w:rsidRDefault="00902F0C" w:rsidP="00902F0C">
      <w:pPr>
        <w:overflowPunct w:val="0"/>
        <w:autoSpaceDE w:val="0"/>
        <w:autoSpaceDN w:val="0"/>
        <w:adjustRightInd w:val="0"/>
        <w:ind w:right="8"/>
        <w:textAlignment w:val="baseline"/>
        <w:rPr>
          <w:rFonts w:eastAsia="Times New Roman" w:cs="Arial"/>
          <w:noProof/>
          <w:szCs w:val="22"/>
        </w:rPr>
      </w:pPr>
    </w:p>
    <w:p w:rsidR="00902F0C" w:rsidRPr="00902F0C" w:rsidRDefault="00902F0C" w:rsidP="00902F0C">
      <w:pPr>
        <w:overflowPunct w:val="0"/>
        <w:autoSpaceDE w:val="0"/>
        <w:autoSpaceDN w:val="0"/>
        <w:adjustRightInd w:val="0"/>
        <w:ind w:right="8" w:firstLine="708"/>
        <w:textAlignment w:val="baseline"/>
        <w:rPr>
          <w:rFonts w:eastAsia="Times New Roman" w:cs="Arial"/>
          <w:b/>
          <w:bCs/>
          <w:noProof/>
          <w:szCs w:val="22"/>
          <w:u w:val="single"/>
        </w:rPr>
      </w:pPr>
      <w:r w:rsidRPr="00902F0C">
        <w:rPr>
          <w:rFonts w:eastAsia="Times New Roman" w:cs="Arial"/>
          <w:b/>
          <w:bCs/>
          <w:noProof/>
          <w:szCs w:val="22"/>
          <w:u w:val="single"/>
        </w:rPr>
        <w:t>Article 5-5 : Contestations</w:t>
      </w:r>
    </w:p>
    <w:p w:rsidR="00902F0C" w:rsidRPr="00902F0C" w:rsidRDefault="00902F0C" w:rsidP="00902F0C">
      <w:pPr>
        <w:spacing w:before="120"/>
        <w:rPr>
          <w:rFonts w:eastAsia="Times New Roman" w:cs="Arial"/>
          <w:szCs w:val="22"/>
        </w:rPr>
      </w:pPr>
      <w:r w:rsidRPr="00902F0C">
        <w:rPr>
          <w:rFonts w:eastAsia="Times New Roman" w:cs="Arial"/>
          <w:szCs w:val="22"/>
        </w:rPr>
        <w:t>Les différends susceptibles de s'élever entre les parties relativement à l'interprétation ou à l'exécution du présent protocole seront, en cas d'impossibilité de parvenir à une conciliation qui prendra la forme d'une réunion à l'initiative de la partie s'estimant lésée, soumis au Tribunal Administratif compétent.</w:t>
      </w:r>
    </w:p>
    <w:p w:rsidR="00902F0C" w:rsidRPr="00902F0C" w:rsidRDefault="00902F0C" w:rsidP="002D2150">
      <w:pPr>
        <w:rPr>
          <w:rFonts w:eastAsia="Times New Roman" w:cs="Arial"/>
          <w:szCs w:val="22"/>
        </w:rPr>
      </w:pPr>
    </w:p>
    <w:p w:rsidR="00902F0C" w:rsidRPr="00902F0C" w:rsidRDefault="00902F0C" w:rsidP="002D2150">
      <w:pPr>
        <w:overflowPunct w:val="0"/>
        <w:autoSpaceDE w:val="0"/>
        <w:autoSpaceDN w:val="0"/>
        <w:adjustRightInd w:val="0"/>
        <w:ind w:right="6" w:firstLine="708"/>
        <w:textAlignment w:val="baseline"/>
        <w:rPr>
          <w:rFonts w:eastAsia="Times New Roman" w:cs="Arial"/>
          <w:b/>
          <w:bCs/>
          <w:noProof/>
          <w:szCs w:val="22"/>
          <w:u w:val="single"/>
        </w:rPr>
      </w:pPr>
      <w:r w:rsidRPr="00902F0C">
        <w:rPr>
          <w:rFonts w:eastAsia="Times New Roman" w:cs="Arial"/>
          <w:b/>
          <w:bCs/>
          <w:noProof/>
          <w:szCs w:val="22"/>
          <w:u w:val="single"/>
        </w:rPr>
        <w:t>Article 5-6 : Résiliations</w:t>
      </w:r>
    </w:p>
    <w:p w:rsidR="00902F0C" w:rsidRPr="00902F0C" w:rsidRDefault="00902F0C" w:rsidP="002D2150">
      <w:pPr>
        <w:rPr>
          <w:rFonts w:eastAsia="Times New Roman" w:cs="Arial"/>
          <w:szCs w:val="22"/>
        </w:rPr>
      </w:pPr>
      <w:r w:rsidRPr="00902F0C">
        <w:rPr>
          <w:rFonts w:eastAsia="Times New Roman" w:cs="Arial"/>
          <w:szCs w:val="22"/>
        </w:rPr>
        <w:t>En cas de non-respect par l’une des parties de ses engagements contractuels, la convention pourra être résiliée de plein droit, à tout moment, après mise en demeure par lettre recommandée avec accusé de réception restée sans effet pendant un délai de quinze jours.</w:t>
      </w:r>
    </w:p>
    <w:p w:rsidR="00902F0C" w:rsidRPr="00902F0C" w:rsidRDefault="00902F0C" w:rsidP="002D2150">
      <w:pPr>
        <w:rPr>
          <w:rFonts w:eastAsia="Times New Roman" w:cs="Arial"/>
          <w:szCs w:val="22"/>
        </w:rPr>
      </w:pPr>
    </w:p>
    <w:p w:rsidR="00902F0C" w:rsidRPr="00902F0C" w:rsidRDefault="00902F0C" w:rsidP="002D2150">
      <w:pPr>
        <w:rPr>
          <w:rFonts w:eastAsia="Times New Roman" w:cs="Arial"/>
          <w:szCs w:val="22"/>
        </w:rPr>
      </w:pPr>
      <w:r w:rsidRPr="00902F0C">
        <w:rPr>
          <w:rFonts w:eastAsia="Times New Roman" w:cs="Arial"/>
          <w:szCs w:val="22"/>
        </w:rPr>
        <w:tab/>
      </w:r>
      <w:r w:rsidRPr="00902F0C">
        <w:rPr>
          <w:rFonts w:eastAsia="Times New Roman" w:cs="Arial"/>
          <w:b/>
          <w:bCs/>
          <w:noProof/>
          <w:szCs w:val="22"/>
          <w:u w:val="single"/>
        </w:rPr>
        <w:t>Article 5-7 : Communication</w:t>
      </w:r>
      <w:r w:rsidRPr="00902F0C">
        <w:rPr>
          <w:rFonts w:eastAsia="Times New Roman" w:cs="Arial"/>
          <w:szCs w:val="22"/>
        </w:rPr>
        <w:t> :</w:t>
      </w:r>
    </w:p>
    <w:p w:rsidR="00902F0C" w:rsidRPr="00902F0C" w:rsidRDefault="00902F0C" w:rsidP="002D2150">
      <w:pPr>
        <w:rPr>
          <w:rFonts w:eastAsia="Times New Roman" w:cs="Arial"/>
          <w:szCs w:val="22"/>
        </w:rPr>
      </w:pPr>
      <w:r w:rsidRPr="00902F0C">
        <w:rPr>
          <w:rFonts w:eastAsia="Times New Roman" w:cs="Arial"/>
          <w:szCs w:val="22"/>
        </w:rPr>
        <w:t>L’autorité concédante et le concessionnaire s’accordent pour organiser des opérations de communication conjointes auprès des communes bénéficiaires, une fois que les travaux réalisés dans le cadre de la présente convention sont finalisés.</w:t>
      </w:r>
    </w:p>
    <w:p w:rsidR="002D2150" w:rsidRDefault="002D2150" w:rsidP="002D2150">
      <w:pPr>
        <w:rPr>
          <w:rFonts w:eastAsia="Times New Roman" w:cs="Arial"/>
          <w:b/>
          <w:szCs w:val="22"/>
          <w:u w:val="single"/>
        </w:rPr>
      </w:pPr>
    </w:p>
    <w:p w:rsidR="00902F0C" w:rsidRPr="00902F0C" w:rsidRDefault="00902F0C" w:rsidP="002D2150">
      <w:pPr>
        <w:rPr>
          <w:rFonts w:eastAsia="Times New Roman" w:cs="Arial"/>
          <w:b/>
          <w:szCs w:val="22"/>
          <w:u w:val="single"/>
        </w:rPr>
      </w:pPr>
      <w:r w:rsidRPr="00902F0C">
        <w:rPr>
          <w:rFonts w:eastAsia="Times New Roman" w:cs="Arial"/>
          <w:b/>
          <w:szCs w:val="22"/>
          <w:u w:val="single"/>
        </w:rPr>
        <w:t>ARTICLE 6 -</w:t>
      </w:r>
      <w:r w:rsidRPr="00902F0C">
        <w:rPr>
          <w:rFonts w:eastAsia="Times New Roman" w:cs="Arial"/>
          <w:b/>
          <w:szCs w:val="22"/>
          <w:u w:val="single"/>
        </w:rPr>
        <w:tab/>
        <w:t>Contrôle de légalité et élection de domicile</w:t>
      </w:r>
    </w:p>
    <w:p w:rsidR="00902F0C" w:rsidRPr="00902F0C" w:rsidRDefault="00902F0C" w:rsidP="002D2150">
      <w:pPr>
        <w:rPr>
          <w:rFonts w:eastAsia="Times New Roman" w:cs="Arial"/>
          <w:szCs w:val="22"/>
        </w:rPr>
      </w:pPr>
      <w:r w:rsidRPr="00902F0C">
        <w:rPr>
          <w:rFonts w:eastAsia="Times New Roman" w:cs="Arial"/>
          <w:szCs w:val="22"/>
        </w:rPr>
        <w:t>La présente convention sera transmise au représentant de l’Etat dans le Département, au titre du contrôle de légalité.</w:t>
      </w:r>
    </w:p>
    <w:p w:rsidR="00902F0C" w:rsidRPr="00902F0C" w:rsidRDefault="00902F0C" w:rsidP="00902F0C">
      <w:p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Pour l’exécution de la présente convention et notamment pour toute notification, signification ou assignation, les parties font élection de domicile :</w:t>
      </w:r>
    </w:p>
    <w:p w:rsidR="00902F0C" w:rsidRPr="00902F0C" w:rsidRDefault="00902F0C" w:rsidP="00130F35">
      <w:pPr>
        <w:numPr>
          <w:ilvl w:val="0"/>
          <w:numId w:val="22"/>
        </w:num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Le concessionnaire à Enedis – Direction Territoriale Ille et Vilaine – 64 boulevard Voltaire - CS 76504 - 35065 Rennes Cedex</w:t>
      </w:r>
    </w:p>
    <w:p w:rsidR="00902F0C" w:rsidRPr="00902F0C" w:rsidRDefault="00902F0C" w:rsidP="00130F35">
      <w:pPr>
        <w:numPr>
          <w:ilvl w:val="0"/>
          <w:numId w:val="22"/>
        </w:numPr>
        <w:overflowPunct w:val="0"/>
        <w:autoSpaceDE w:val="0"/>
        <w:autoSpaceDN w:val="0"/>
        <w:adjustRightInd w:val="0"/>
        <w:spacing w:before="120"/>
        <w:ind w:right="6"/>
        <w:textAlignment w:val="baseline"/>
        <w:rPr>
          <w:rFonts w:eastAsia="Times New Roman" w:cs="Arial"/>
          <w:noProof/>
          <w:szCs w:val="22"/>
        </w:rPr>
      </w:pPr>
      <w:r w:rsidRPr="00902F0C">
        <w:rPr>
          <w:rFonts w:eastAsia="Times New Roman" w:cs="Arial"/>
          <w:noProof/>
          <w:szCs w:val="22"/>
        </w:rPr>
        <w:t>L’autorité concédante à SDE35 -  1, Avenue de Tizé 35236 Thorigné Fouillard.</w:t>
      </w: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2D2150">
      <w:pPr>
        <w:overflowPunct w:val="0"/>
        <w:autoSpaceDE w:val="0"/>
        <w:autoSpaceDN w:val="0"/>
        <w:adjustRightInd w:val="0"/>
        <w:ind w:right="6"/>
        <w:textAlignment w:val="baseline"/>
        <w:rPr>
          <w:rFonts w:eastAsia="Times New Roman" w:cs="Arial"/>
          <w:noProof/>
          <w:szCs w:val="22"/>
        </w:rPr>
      </w:pPr>
    </w:p>
    <w:p w:rsidR="00902F0C" w:rsidRPr="00902F0C" w:rsidRDefault="00902F0C" w:rsidP="00902F0C">
      <w:pPr>
        <w:tabs>
          <w:tab w:val="left" w:pos="5720"/>
        </w:tabs>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 xml:space="preserve">Fait à Rennes, le </w:t>
      </w:r>
    </w:p>
    <w:p w:rsidR="00902F0C" w:rsidRPr="00902F0C" w:rsidRDefault="00902F0C" w:rsidP="00902F0C">
      <w:pPr>
        <w:tabs>
          <w:tab w:val="left" w:pos="5720"/>
        </w:tabs>
        <w:overflowPunct w:val="0"/>
        <w:autoSpaceDE w:val="0"/>
        <w:autoSpaceDN w:val="0"/>
        <w:adjustRightInd w:val="0"/>
        <w:ind w:right="8"/>
        <w:textAlignment w:val="baseline"/>
        <w:rPr>
          <w:rFonts w:eastAsia="Times New Roman" w:cs="Arial"/>
          <w:noProof/>
          <w:szCs w:val="22"/>
        </w:rPr>
      </w:pPr>
    </w:p>
    <w:p w:rsidR="00902F0C" w:rsidRPr="00902F0C" w:rsidRDefault="00902F0C" w:rsidP="00902F0C">
      <w:pPr>
        <w:tabs>
          <w:tab w:val="left" w:pos="5720"/>
        </w:tabs>
        <w:overflowPunct w:val="0"/>
        <w:autoSpaceDE w:val="0"/>
        <w:autoSpaceDN w:val="0"/>
        <w:adjustRightInd w:val="0"/>
        <w:ind w:right="8"/>
        <w:textAlignment w:val="baseline"/>
        <w:rPr>
          <w:rFonts w:eastAsia="Times New Roman" w:cs="Arial"/>
          <w:noProof/>
          <w:szCs w:val="22"/>
        </w:rPr>
      </w:pPr>
    </w:p>
    <w:p w:rsidR="00902F0C" w:rsidRPr="00902F0C" w:rsidRDefault="00902F0C" w:rsidP="00902F0C">
      <w:pPr>
        <w:tabs>
          <w:tab w:val="left" w:pos="5720"/>
        </w:tabs>
        <w:overflowPunct w:val="0"/>
        <w:autoSpaceDE w:val="0"/>
        <w:autoSpaceDN w:val="0"/>
        <w:adjustRightInd w:val="0"/>
        <w:ind w:right="8"/>
        <w:textAlignment w:val="baseline"/>
        <w:rPr>
          <w:rFonts w:eastAsia="Times New Roman" w:cs="Arial"/>
          <w:noProof/>
          <w:szCs w:val="22"/>
        </w:rPr>
      </w:pPr>
    </w:p>
    <w:p w:rsidR="00902F0C" w:rsidRPr="00902F0C" w:rsidRDefault="00902F0C" w:rsidP="00902F0C">
      <w:pPr>
        <w:tabs>
          <w:tab w:val="left" w:pos="5720"/>
        </w:tabs>
        <w:overflowPunct w:val="0"/>
        <w:autoSpaceDE w:val="0"/>
        <w:autoSpaceDN w:val="0"/>
        <w:adjustRightInd w:val="0"/>
        <w:ind w:right="8"/>
        <w:textAlignment w:val="baseline"/>
        <w:rPr>
          <w:rFonts w:eastAsia="Times New Roman" w:cs="Arial"/>
          <w:noProof/>
          <w:szCs w:val="22"/>
        </w:rPr>
      </w:pPr>
      <w:r w:rsidRPr="00902F0C">
        <w:rPr>
          <w:rFonts w:eastAsia="Times New Roman" w:cs="Arial"/>
          <w:noProof/>
          <w:szCs w:val="22"/>
        </w:rPr>
        <w:t>En trois exemplaires originaux,</w:t>
      </w:r>
    </w:p>
    <w:p w:rsidR="00902F0C" w:rsidRPr="00902F0C" w:rsidRDefault="00902F0C" w:rsidP="00902F0C">
      <w:pPr>
        <w:tabs>
          <w:tab w:val="center" w:pos="2540"/>
          <w:tab w:val="left" w:pos="5720"/>
        </w:tabs>
        <w:overflowPunct w:val="0"/>
        <w:autoSpaceDE w:val="0"/>
        <w:autoSpaceDN w:val="0"/>
        <w:adjustRightInd w:val="0"/>
        <w:ind w:right="8"/>
        <w:textAlignment w:val="baseline"/>
        <w:rPr>
          <w:rFonts w:eastAsia="Times New Roman" w:cs="Arial"/>
          <w:noProof/>
          <w:szCs w:val="22"/>
        </w:rPr>
      </w:pPr>
    </w:p>
    <w:p w:rsidR="00902F0C" w:rsidRPr="00902F0C" w:rsidRDefault="00902F0C" w:rsidP="00902F0C">
      <w:pPr>
        <w:tabs>
          <w:tab w:val="center" w:pos="1418"/>
          <w:tab w:val="center" w:pos="6521"/>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r w:rsidRPr="00902F0C">
        <w:rPr>
          <w:rFonts w:eastAsia="Times New Roman" w:cs="Arial"/>
          <w:szCs w:val="22"/>
        </w:rPr>
        <w:t>Pour l’autorité concédante,</w:t>
      </w:r>
      <w:r w:rsidRPr="00902F0C">
        <w:rPr>
          <w:rFonts w:eastAsia="Times New Roman" w:cs="Arial"/>
          <w:szCs w:val="22"/>
        </w:rPr>
        <w:tab/>
        <w:t>Pour le concessionnaire,</w:t>
      </w: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r w:rsidRPr="00902F0C">
        <w:rPr>
          <w:rFonts w:eastAsia="Times New Roman" w:cs="Arial"/>
          <w:szCs w:val="22"/>
        </w:rPr>
        <w:t>Didier NOUYOU</w:t>
      </w:r>
      <w:r w:rsidRPr="00902F0C">
        <w:rPr>
          <w:rFonts w:eastAsia="Times New Roman" w:cs="Arial"/>
          <w:szCs w:val="22"/>
        </w:rPr>
        <w:tab/>
        <w:t>Marc POSNIC</w:t>
      </w:r>
    </w:p>
    <w:p w:rsidR="00902F0C" w:rsidRPr="00902F0C" w:rsidRDefault="00902F0C" w:rsidP="00902F0C">
      <w:pPr>
        <w:tabs>
          <w:tab w:val="left" w:pos="5670"/>
        </w:tabs>
        <w:overflowPunct w:val="0"/>
        <w:autoSpaceDE w:val="0"/>
        <w:autoSpaceDN w:val="0"/>
        <w:adjustRightInd w:val="0"/>
        <w:textAlignment w:val="baseline"/>
        <w:rPr>
          <w:rFonts w:eastAsia="Times New Roman" w:cs="Arial"/>
          <w:szCs w:val="22"/>
        </w:rPr>
      </w:pPr>
      <w:r w:rsidRPr="00902F0C">
        <w:rPr>
          <w:rFonts w:eastAsia="Times New Roman" w:cs="Arial"/>
          <w:szCs w:val="22"/>
        </w:rPr>
        <w:t>Président</w:t>
      </w:r>
      <w:r w:rsidRPr="00902F0C">
        <w:rPr>
          <w:rFonts w:eastAsia="Times New Roman" w:cs="Arial"/>
          <w:szCs w:val="22"/>
        </w:rPr>
        <w:tab/>
        <w:t>Directeur Territorial Ille-et-Vilaine</w:t>
      </w:r>
    </w:p>
    <w:p w:rsidR="00902F0C" w:rsidRDefault="00902F0C" w:rsidP="002D2150">
      <w:pPr>
        <w:tabs>
          <w:tab w:val="left" w:pos="5670"/>
        </w:tabs>
        <w:overflowPunct w:val="0"/>
        <w:autoSpaceDE w:val="0"/>
        <w:autoSpaceDN w:val="0"/>
        <w:adjustRightInd w:val="0"/>
        <w:textAlignment w:val="baseline"/>
        <w:rPr>
          <w:b/>
        </w:rPr>
      </w:pPr>
      <w:r w:rsidRPr="00902F0C">
        <w:rPr>
          <w:rFonts w:eastAsia="Times New Roman" w:cs="Arial"/>
          <w:szCs w:val="22"/>
        </w:rPr>
        <w:t>Syndicat Départemental d’Energie 35</w:t>
      </w:r>
      <w:r w:rsidRPr="00902F0C">
        <w:rPr>
          <w:rFonts w:eastAsia="Times New Roman" w:cs="Arial"/>
          <w:szCs w:val="22"/>
        </w:rPr>
        <w:tab/>
        <w:t>Enedis</w:t>
      </w:r>
      <w:r>
        <w:rPr>
          <w:b/>
        </w:rPr>
        <w:br w:type="page"/>
      </w:r>
    </w:p>
    <w:p w:rsidR="003B3BA8" w:rsidRPr="00902F0C" w:rsidRDefault="002D2150" w:rsidP="00627DCF">
      <w:pPr>
        <w:jc w:val="left"/>
        <w:rPr>
          <w:b/>
          <w:u w:val="single"/>
        </w:rPr>
      </w:pPr>
      <w:r>
        <w:rPr>
          <w:b/>
          <w:u w:val="single"/>
        </w:rPr>
        <w:lastRenderedPageBreak/>
        <w:t>ANNEXE 3</w:t>
      </w:r>
    </w:p>
    <w:p w:rsidR="003B3BA8" w:rsidRDefault="003B3BA8" w:rsidP="003B3BA8">
      <w:pPr>
        <w:tabs>
          <w:tab w:val="center" w:pos="4820"/>
          <w:tab w:val="right" w:pos="9923"/>
        </w:tabs>
        <w:ind w:right="-284"/>
      </w:pPr>
      <w:r>
        <w:rPr>
          <w:noProof/>
        </w:rPr>
        <w:drawing>
          <wp:anchor distT="0" distB="0" distL="114300" distR="114300" simplePos="0" relativeHeight="251663360" behindDoc="0" locked="0" layoutInCell="1" allowOverlap="1" wp14:anchorId="4C4D5525" wp14:editId="4DC84322">
            <wp:simplePos x="0" y="0"/>
            <wp:positionH relativeFrom="margin">
              <wp:posOffset>4513580</wp:posOffset>
            </wp:positionH>
            <wp:positionV relativeFrom="margin">
              <wp:posOffset>0</wp:posOffset>
            </wp:positionV>
            <wp:extent cx="1619885" cy="715645"/>
            <wp:effectExtent l="19050" t="0" r="0" b="0"/>
            <wp:wrapSquare wrapText="bothSides"/>
            <wp:docPr id="6" name="Image 1" descr="Logo ED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EDF.bmp"/>
                    <pic:cNvPicPr>
                      <a:picLocks noChangeAspect="1" noChangeArrowheads="1"/>
                    </pic:cNvPicPr>
                  </pic:nvPicPr>
                  <pic:blipFill>
                    <a:blip r:embed="rId17" cstate="print"/>
                    <a:srcRect/>
                    <a:stretch>
                      <a:fillRect/>
                    </a:stretch>
                  </pic:blipFill>
                  <pic:spPr bwMode="auto">
                    <a:xfrm>
                      <a:off x="0" y="0"/>
                      <a:ext cx="1619885" cy="715645"/>
                    </a:xfrm>
                    <a:prstGeom prst="rect">
                      <a:avLst/>
                    </a:prstGeom>
                    <a:noFill/>
                    <a:ln w="9525">
                      <a:noFill/>
                      <a:miter lim="800000"/>
                      <a:headEnd/>
                      <a:tailEnd/>
                    </a:ln>
                  </pic:spPr>
                </pic:pic>
              </a:graphicData>
            </a:graphic>
          </wp:anchor>
        </w:drawing>
      </w:r>
      <w:r>
        <w:rPr>
          <w:noProof/>
        </w:rPr>
        <w:drawing>
          <wp:inline distT="0" distB="0" distL="0" distR="0" wp14:anchorId="16C44F43" wp14:editId="04218400">
            <wp:extent cx="1622425" cy="511175"/>
            <wp:effectExtent l="19050" t="0" r="0" b="0"/>
            <wp:docPr id="7" name="Image 7" descr="Fredd + signature_couleur_RVB_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redd + signature_couleur_RVB_300 dpi.png"/>
                    <pic:cNvPicPr>
                      <a:picLocks noChangeAspect="1" noChangeArrowheads="1"/>
                    </pic:cNvPicPr>
                  </pic:nvPicPr>
                  <pic:blipFill>
                    <a:blip r:embed="rId16" cstate="print"/>
                    <a:srcRect/>
                    <a:stretch>
                      <a:fillRect/>
                    </a:stretch>
                  </pic:blipFill>
                  <pic:spPr bwMode="auto">
                    <a:xfrm>
                      <a:off x="0" y="0"/>
                      <a:ext cx="1622425" cy="511175"/>
                    </a:xfrm>
                    <a:prstGeom prst="rect">
                      <a:avLst/>
                    </a:prstGeom>
                    <a:noFill/>
                    <a:ln w="9525">
                      <a:noFill/>
                      <a:miter lim="800000"/>
                      <a:headEnd/>
                      <a:tailEnd/>
                    </a:ln>
                  </pic:spPr>
                </pic:pic>
              </a:graphicData>
            </a:graphic>
          </wp:inline>
        </w:drawing>
      </w:r>
      <w:r>
        <w:t xml:space="preserve">              </w:t>
      </w:r>
      <w:r>
        <w:rPr>
          <w:noProof/>
        </w:rPr>
        <w:drawing>
          <wp:inline distT="0" distB="0" distL="0" distR="0" wp14:anchorId="14D1B27E" wp14:editId="4BB951FB">
            <wp:extent cx="1799590" cy="815975"/>
            <wp:effectExtent l="19050" t="0" r="0" b="0"/>
            <wp:docPr id="11" name="Image 11" descr="Logo S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SDE35"/>
                    <pic:cNvPicPr>
                      <a:picLocks noChangeAspect="1" noChangeArrowheads="1"/>
                    </pic:cNvPicPr>
                  </pic:nvPicPr>
                  <pic:blipFill>
                    <a:blip r:embed="rId18" cstate="print"/>
                    <a:srcRect/>
                    <a:stretch>
                      <a:fillRect/>
                    </a:stretch>
                  </pic:blipFill>
                  <pic:spPr bwMode="auto">
                    <a:xfrm>
                      <a:off x="0" y="0"/>
                      <a:ext cx="1799590" cy="815975"/>
                    </a:xfrm>
                    <a:prstGeom prst="rect">
                      <a:avLst/>
                    </a:prstGeom>
                    <a:noFill/>
                    <a:ln w="9525">
                      <a:noFill/>
                      <a:miter lim="800000"/>
                      <a:headEnd/>
                      <a:tailEnd/>
                    </a:ln>
                  </pic:spPr>
                </pic:pic>
              </a:graphicData>
            </a:graphic>
          </wp:inline>
        </w:drawing>
      </w:r>
      <w:r>
        <w:t xml:space="preserve">                                        </w:t>
      </w:r>
    </w:p>
    <w:p w:rsidR="003B3BA8" w:rsidRDefault="003B3BA8" w:rsidP="003B3BA8">
      <w:pPr>
        <w:pStyle w:val="Titre1"/>
        <w:jc w:val="center"/>
        <w:rPr>
          <w:rFonts w:ascii="Calibri" w:hAnsi="Calibri"/>
        </w:rPr>
      </w:pPr>
    </w:p>
    <w:p w:rsidR="003B3BA8" w:rsidRPr="00EF1C4F" w:rsidRDefault="003B3BA8" w:rsidP="003B3BA8">
      <w:pPr>
        <w:pStyle w:val="Titre1"/>
        <w:jc w:val="center"/>
        <w:rPr>
          <w:rFonts w:ascii="Calibri" w:hAnsi="Calibri"/>
        </w:rPr>
      </w:pPr>
      <w:r>
        <w:rPr>
          <w:rFonts w:ascii="Calibri" w:hAnsi="Calibri"/>
        </w:rPr>
        <w:t xml:space="preserve">Avenant au contrat </w:t>
      </w:r>
      <w:r w:rsidRPr="00EF1C4F">
        <w:rPr>
          <w:rFonts w:ascii="Calibri" w:hAnsi="Calibri"/>
        </w:rPr>
        <w:t>de concession pour le service public de la distribution d’énergie électrique du 30 juillet 1992</w:t>
      </w:r>
    </w:p>
    <w:p w:rsidR="003B3BA8" w:rsidRDefault="003B3BA8" w:rsidP="003B3BA8">
      <w:pPr>
        <w:pStyle w:val="Titre1"/>
        <w:spacing w:before="120"/>
        <w:jc w:val="center"/>
        <w:rPr>
          <w:rFonts w:ascii="Calibri" w:hAnsi="Calibri"/>
        </w:rPr>
      </w:pPr>
      <w:r w:rsidRPr="00EF1C4F">
        <w:rPr>
          <w:rFonts w:ascii="Calibri" w:hAnsi="Calibri"/>
        </w:rPr>
        <w:t>Avenant n°</w:t>
      </w:r>
      <w:r>
        <w:rPr>
          <w:rFonts w:ascii="Calibri" w:hAnsi="Calibri"/>
        </w:rPr>
        <w:t>9</w:t>
      </w:r>
      <w:r w:rsidR="00BF4662">
        <w:rPr>
          <w:rFonts w:ascii="Calibri" w:hAnsi="Calibri"/>
        </w:rPr>
        <w:t xml:space="preserve"> - </w:t>
      </w:r>
      <w:r>
        <w:rPr>
          <w:rFonts w:ascii="Calibri" w:hAnsi="Calibri"/>
        </w:rPr>
        <w:t>R</w:t>
      </w:r>
      <w:r w:rsidRPr="00436E78">
        <w:rPr>
          <w:rFonts w:ascii="Calibri" w:hAnsi="Calibri"/>
        </w:rPr>
        <w:t>elatif à l'application</w:t>
      </w:r>
      <w:r>
        <w:rPr>
          <w:rFonts w:ascii="Calibri" w:hAnsi="Calibri"/>
        </w:rPr>
        <w:t xml:space="preserve"> </w:t>
      </w:r>
      <w:r w:rsidRPr="00436E78">
        <w:rPr>
          <w:rFonts w:ascii="Calibri" w:hAnsi="Calibri"/>
        </w:rPr>
        <w:t>du protocole PCT</w:t>
      </w:r>
    </w:p>
    <w:p w:rsidR="003B3BA8" w:rsidRPr="00B2772F" w:rsidRDefault="003B3BA8" w:rsidP="003B3BA8">
      <w:pPr>
        <w:rPr>
          <w:b/>
          <w:color w:val="336699"/>
        </w:rPr>
      </w:pPr>
      <w:r w:rsidRPr="00B2772F">
        <w:rPr>
          <w:b/>
          <w:color w:val="336699"/>
        </w:rPr>
        <w:t>Entre</w:t>
      </w:r>
      <w:r>
        <w:rPr>
          <w:b/>
          <w:color w:val="336699"/>
        </w:rPr>
        <w:t xml:space="preserve"> les soussignés</w:t>
      </w:r>
      <w:r w:rsidRPr="00B2772F">
        <w:rPr>
          <w:b/>
          <w:color w:val="336699"/>
        </w:rPr>
        <w:t> :</w:t>
      </w:r>
    </w:p>
    <w:p w:rsidR="003B3BA8" w:rsidRPr="00C64D8D" w:rsidRDefault="003B3BA8" w:rsidP="003B3BA8">
      <w:pPr>
        <w:tabs>
          <w:tab w:val="left" w:leader="dot" w:pos="7371"/>
        </w:tabs>
      </w:pPr>
      <w:r w:rsidRPr="00C64D8D">
        <w:t>L</w:t>
      </w:r>
      <w:r>
        <w:t>e</w:t>
      </w:r>
      <w:r w:rsidRPr="00C64D8D">
        <w:t xml:space="preserve"> </w:t>
      </w:r>
      <w:r w:rsidRPr="00CC6BF1">
        <w:rPr>
          <w:b/>
        </w:rPr>
        <w:t>Syndicat Départemental d’Energie d’Ille et Vilaine</w:t>
      </w:r>
      <w:r w:rsidRPr="00C64D8D">
        <w:t xml:space="preserve"> (SDE35), </w:t>
      </w:r>
      <w:r>
        <w:t xml:space="preserve">sis Village des Collectivités d’Ille-et-Vilaine, 1 avenue de Tizé, 35 236 Thorigné-Fouillard, autorité organisatrice du service public de distribution d’électricité, représentée par Monsieur Didier NOUYOU, en sa qualité de Président, dûment habilité aux fins des présentes en vertu d’une délibération du  </w:t>
      </w:r>
      <w:r w:rsidRPr="000663FD">
        <w:t>10 avril 2018</w:t>
      </w:r>
      <w:r>
        <w:t xml:space="preserve"> ;</w:t>
      </w:r>
    </w:p>
    <w:p w:rsidR="003B3BA8" w:rsidRDefault="003B3BA8" w:rsidP="003B3BA8">
      <w:r>
        <w:t>Désigné ci-après « </w:t>
      </w:r>
      <w:r>
        <w:rPr>
          <w:b/>
        </w:rPr>
        <w:t>l’A</w:t>
      </w:r>
      <w:r w:rsidRPr="005A3F17">
        <w:rPr>
          <w:b/>
        </w:rPr>
        <w:t>utorité concédante</w:t>
      </w:r>
      <w:r>
        <w:t> »</w:t>
      </w:r>
    </w:p>
    <w:p w:rsidR="003B3BA8" w:rsidRDefault="003B3BA8" w:rsidP="003B3BA8">
      <w:pPr>
        <w:rPr>
          <w:b/>
          <w:color w:val="336699"/>
        </w:rPr>
      </w:pPr>
      <w:r w:rsidRPr="00B2772F">
        <w:rPr>
          <w:b/>
          <w:color w:val="336699"/>
        </w:rPr>
        <w:t>D’une part</w:t>
      </w:r>
      <w:r>
        <w:rPr>
          <w:b/>
          <w:color w:val="336699"/>
        </w:rPr>
        <w:t>,</w:t>
      </w:r>
    </w:p>
    <w:p w:rsidR="003B3BA8" w:rsidRPr="00B2772F" w:rsidRDefault="003B3BA8" w:rsidP="003B3BA8">
      <w:pPr>
        <w:rPr>
          <w:b/>
          <w:color w:val="336699"/>
        </w:rPr>
      </w:pPr>
      <w:r w:rsidRPr="00B2772F">
        <w:rPr>
          <w:b/>
          <w:color w:val="336699"/>
        </w:rPr>
        <w:t>Et :</w:t>
      </w:r>
    </w:p>
    <w:p w:rsidR="003B3BA8" w:rsidRDefault="003B3BA8" w:rsidP="003B3BA8">
      <w:r w:rsidRPr="00CC6BF1">
        <w:rPr>
          <w:b/>
        </w:rPr>
        <w:t>Enedis</w:t>
      </w:r>
      <w:r w:rsidRPr="005C2161">
        <w:t xml:space="preserve">, société anonyme à directoire et conseil de surveillance au capital de 270 037 000 euros, ayant son siège social, 34, place des Corolles,  92079 Paris La Défense Cedex, immatriculée au registre du commerce et des sociétés de Nanterre sous le n°444 608 442, représentée par Monsieur </w:t>
      </w:r>
      <w:r>
        <w:t>Marc POSNIC</w:t>
      </w:r>
      <w:r w:rsidRPr="005C2161">
        <w:t xml:space="preserve">, </w:t>
      </w:r>
      <w:r>
        <w:t xml:space="preserve">Directeur Territorial Ille et Vilaine, </w:t>
      </w:r>
      <w:r w:rsidRPr="005C2161">
        <w:t>agissant en vertu de la délégation de pouvoirs qui lui a été consentie le 1</w:t>
      </w:r>
      <w:r w:rsidRPr="005C2161">
        <w:rPr>
          <w:vertAlign w:val="superscript"/>
        </w:rPr>
        <w:t>er</w:t>
      </w:r>
      <w:r w:rsidRPr="005C2161">
        <w:t xml:space="preserve"> janvier 201</w:t>
      </w:r>
      <w:r>
        <w:t>7</w:t>
      </w:r>
      <w:r w:rsidRPr="005C2161">
        <w:t xml:space="preserve"> par M. Bernard LAURANS, Directeur </w:t>
      </w:r>
      <w:r>
        <w:t>Régional</w:t>
      </w:r>
      <w:r w:rsidRPr="005C2161">
        <w:t xml:space="preserve"> Bretagne</w:t>
      </w:r>
      <w:r>
        <w:t>,</w:t>
      </w:r>
      <w:r w:rsidRPr="004A6179">
        <w:t xml:space="preserve"> </w:t>
      </w:r>
      <w:r w:rsidRPr="007B032E">
        <w:t>faisant élection de domicile</w:t>
      </w:r>
      <w:r>
        <w:t xml:space="preserve"> au 64 boulevard Voltaire à Rennes ;</w:t>
      </w:r>
    </w:p>
    <w:p w:rsidR="003B3BA8" w:rsidRPr="005C2161" w:rsidRDefault="003B3BA8" w:rsidP="003B3BA8">
      <w:r w:rsidRPr="005C2161">
        <w:t>Désignée ci-après « </w:t>
      </w:r>
      <w:r w:rsidRPr="00CC6BF1">
        <w:rPr>
          <w:b/>
        </w:rPr>
        <w:t>le concessionnaire</w:t>
      </w:r>
      <w:r w:rsidRPr="005C2161">
        <w:t xml:space="preserve"> » </w:t>
      </w:r>
      <w:r w:rsidRPr="00397D36">
        <w:rPr>
          <w:b/>
        </w:rPr>
        <w:t>pour la mission de développement et d’exploitation du réseau public de distribution d’électricité</w:t>
      </w:r>
    </w:p>
    <w:p w:rsidR="003B3BA8" w:rsidRPr="00B2772F" w:rsidRDefault="003B3BA8" w:rsidP="003B3BA8">
      <w:pPr>
        <w:rPr>
          <w:b/>
          <w:color w:val="336699"/>
        </w:rPr>
      </w:pPr>
      <w:r w:rsidRPr="00B2772F">
        <w:rPr>
          <w:b/>
          <w:color w:val="336699"/>
        </w:rPr>
        <w:t>Et :</w:t>
      </w:r>
    </w:p>
    <w:p w:rsidR="003B3BA8" w:rsidRPr="00AA5E9C" w:rsidRDefault="003B3BA8" w:rsidP="003B3BA8">
      <w:pPr>
        <w:tabs>
          <w:tab w:val="left" w:leader="dot" w:pos="9214"/>
        </w:tabs>
      </w:pPr>
      <w:r w:rsidRPr="00CC6BF1">
        <w:rPr>
          <w:b/>
        </w:rPr>
        <w:t>E</w:t>
      </w:r>
      <w:r>
        <w:rPr>
          <w:b/>
        </w:rPr>
        <w:t>lectricité de France</w:t>
      </w:r>
      <w:r>
        <w:t xml:space="preserve"> (EDF)</w:t>
      </w:r>
      <w:r w:rsidRPr="00767DDB">
        <w:t xml:space="preserve">, </w:t>
      </w:r>
      <w:r>
        <w:t>société anonyme au capital de 1 443 677 137 euros, ayant son siège social, 22-30 avenue Wagram, 75008 PARIS, immatriculée au registre du commerce et des sociétés de Paris sous le n° 552 081 317, représentée par Monsieur Frédéric COSPEREC,</w:t>
      </w:r>
      <w:r w:rsidRPr="007B032E">
        <w:t xml:space="preserve"> </w:t>
      </w:r>
      <w:r>
        <w:t xml:space="preserve">agissant en qualité de </w:t>
      </w:r>
      <w:r w:rsidRPr="007B032E">
        <w:t>Directeur du Développement Territorial</w:t>
      </w:r>
      <w:r>
        <w:t xml:space="preserve"> d’EDF – Direction Commerce Ouest, dûment habilité à l’effet des présentes ; </w:t>
      </w:r>
    </w:p>
    <w:p w:rsidR="003B3BA8" w:rsidRDefault="003B3BA8" w:rsidP="003B3BA8">
      <w:pPr>
        <w:tabs>
          <w:tab w:val="left" w:leader="dot" w:pos="3402"/>
          <w:tab w:val="left" w:leader="dot" w:pos="9214"/>
        </w:tabs>
      </w:pPr>
      <w:r>
        <w:t>Désignée ci-après « </w:t>
      </w:r>
      <w:r w:rsidRPr="00CC6BF1">
        <w:rPr>
          <w:b/>
        </w:rPr>
        <w:t>le concessionnaire</w:t>
      </w:r>
      <w:r>
        <w:t xml:space="preserve"> » </w:t>
      </w:r>
      <w:r w:rsidRPr="00397D36">
        <w:rPr>
          <w:b/>
        </w:rPr>
        <w:t>pour la mission de fourniture d’énergie électrique aux usagers bénéficiant des tarifs réglementés de vente</w:t>
      </w:r>
    </w:p>
    <w:p w:rsidR="003B3BA8" w:rsidRPr="00AA5E9C" w:rsidRDefault="003B3BA8" w:rsidP="003B3BA8">
      <w:r w:rsidRPr="00AA5E9C">
        <w:t>Ci-après désignés ensemble « </w:t>
      </w:r>
      <w:r>
        <w:rPr>
          <w:b/>
        </w:rPr>
        <w:t>le C</w:t>
      </w:r>
      <w:r w:rsidRPr="00AA5E9C">
        <w:rPr>
          <w:b/>
        </w:rPr>
        <w:t>oncessionnaire</w:t>
      </w:r>
      <w:r w:rsidRPr="00AA5E9C">
        <w:t> »</w:t>
      </w:r>
    </w:p>
    <w:p w:rsidR="003B3BA8" w:rsidRDefault="003B3BA8" w:rsidP="003B3BA8">
      <w:pPr>
        <w:rPr>
          <w:b/>
          <w:color w:val="336699"/>
        </w:rPr>
      </w:pPr>
      <w:r w:rsidRPr="00B2772F">
        <w:rPr>
          <w:b/>
          <w:color w:val="336699"/>
        </w:rPr>
        <w:t>D’autre part</w:t>
      </w:r>
      <w:r>
        <w:rPr>
          <w:b/>
          <w:color w:val="336699"/>
        </w:rPr>
        <w:t>,</w:t>
      </w:r>
    </w:p>
    <w:p w:rsidR="003B3BA8" w:rsidRDefault="003B3BA8" w:rsidP="003B3BA8">
      <w:pPr>
        <w:rPr>
          <w:b/>
          <w:color w:val="336699"/>
        </w:rPr>
      </w:pPr>
      <w:r>
        <w:rPr>
          <w:b/>
          <w:color w:val="336699"/>
        </w:rPr>
        <w:t>L’Autorité concédante et le Concessionnaire sont désignés ci-après « les Parties ».</w:t>
      </w:r>
    </w:p>
    <w:p w:rsidR="00BF4662" w:rsidRPr="00BF4662" w:rsidRDefault="00BF4662" w:rsidP="003B3BA8">
      <w:pPr>
        <w:rPr>
          <w:b/>
          <w:color w:val="006699"/>
          <w:sz w:val="10"/>
          <w:szCs w:val="10"/>
        </w:rPr>
      </w:pPr>
    </w:p>
    <w:p w:rsidR="003B3BA8" w:rsidRPr="0021043C" w:rsidRDefault="003B3BA8" w:rsidP="003B3BA8">
      <w:pPr>
        <w:rPr>
          <w:b/>
          <w:color w:val="006699"/>
        </w:rPr>
      </w:pPr>
      <w:r w:rsidRPr="0021043C">
        <w:rPr>
          <w:b/>
          <w:color w:val="006699"/>
        </w:rPr>
        <w:t>Exposé</w:t>
      </w:r>
      <w:r>
        <w:rPr>
          <w:b/>
          <w:color w:val="006699"/>
        </w:rPr>
        <w:t xml:space="preserve"> préalable</w:t>
      </w:r>
    </w:p>
    <w:p w:rsidR="003B3BA8" w:rsidRPr="00BF536D" w:rsidRDefault="003B3BA8" w:rsidP="003B3BA8">
      <w:pPr>
        <w:rPr>
          <w:b/>
          <w:color w:val="0070C0"/>
        </w:rPr>
      </w:pPr>
      <w:r w:rsidRPr="00BF536D">
        <w:rPr>
          <w:b/>
          <w:color w:val="0070C0"/>
        </w:rPr>
        <w:t>Historique des négociations nationales FNCCR/ENEDIS</w:t>
      </w:r>
    </w:p>
    <w:p w:rsidR="003B3BA8" w:rsidRDefault="003B3BA8" w:rsidP="003B3BA8">
      <w:r>
        <w:t>Compte tenu de la signature par la FNCCR et Enedis (anciennement ERDF) du protocole relatif au versement par Enedis aux autorités concédantes maîtres d’ouvrage de travaux de raccordement de la part couverte par le tarif, dit « Protocole PCT » , le 26 juin 2009 ;</w:t>
      </w:r>
    </w:p>
    <w:p w:rsidR="003B3BA8" w:rsidRDefault="003B3BA8" w:rsidP="003B3BA8">
      <w:r>
        <w:t>Compte tenu de la caducité, intervenue à compter du 1er janvier 2010, de la convention signée par la FNCCR et EDF, le 25 septembre 1986, relative à « l’adaptation du ticket bleu individuel dans les zones relevant du régime de l’électrification rurale » ;</w:t>
      </w:r>
    </w:p>
    <w:p w:rsidR="003B3BA8" w:rsidRDefault="003B3BA8" w:rsidP="003B3BA8">
      <w:r>
        <w:t>Compte tenu de la signature le 18 juillet 2012 de l’avenant n°1 au Protocole PCT pour une période de 3 ans à compter du 1er janvier 2013 ;</w:t>
      </w:r>
    </w:p>
    <w:p w:rsidR="003B3BA8" w:rsidRDefault="003B3BA8" w:rsidP="003B3BA8">
      <w:r w:rsidRPr="00CC2975">
        <w:t>Compte tenu de la signature de l’avenant n°2 au Protocole PCT le 1er janvier 2016 reconduisant l’application dudit protocole pour une période de 1 an jusqu’au 31 décembre 2016 ;</w:t>
      </w:r>
    </w:p>
    <w:p w:rsidR="003B3BA8" w:rsidRPr="00CC2975" w:rsidRDefault="003B3BA8" w:rsidP="003B3BA8">
      <w:r w:rsidRPr="004F58FF">
        <w:t>Compte tenu de la signature le 1er janvier 2017 de l’avenant n°3 au Protocole PCT reconduisant l’application dudit protocole pour une période de 5 ans à compter du 1er janvier 2017 et prévoyant notamment la possibilité qu’Enedis verse directement le montant de l</w:t>
      </w:r>
      <w:r>
        <w:t>a PCT aux autorités concédantes ;</w:t>
      </w:r>
    </w:p>
    <w:p w:rsidR="003B3BA8" w:rsidRDefault="003B3BA8" w:rsidP="003B3BA8">
      <w:r>
        <w:lastRenderedPageBreak/>
        <w:t>Compte tenu de la signature de l’avenant n°12</w:t>
      </w:r>
      <w:r w:rsidRPr="00E32F57">
        <w:rPr>
          <w:color w:val="FF0000"/>
        </w:rPr>
        <w:t xml:space="preserve"> </w:t>
      </w:r>
      <w:r>
        <w:t xml:space="preserve">au Protocole PCT le 1er septembre 2017 reconduisant l’application dudit protocole pour une période de 5 ans à compter du 1er janvier 2017 ; </w:t>
      </w:r>
    </w:p>
    <w:p w:rsidR="003B3BA8" w:rsidRPr="00172733" w:rsidRDefault="003B3BA8" w:rsidP="003B3BA8">
      <w:r w:rsidRPr="00172733">
        <w:t>Compte tenu de la signature le 30 janvier 2013 du protocole d’accord régional sur la mise en œuvre de la procédure de versement de la part couverte par le tarif (PCT) pour les travaux de raccordement ci-après annexé ;</w:t>
      </w:r>
    </w:p>
    <w:p w:rsidR="003B3BA8" w:rsidRPr="00172733" w:rsidRDefault="003B3BA8" w:rsidP="003B3BA8">
      <w:r w:rsidRPr="00172733">
        <w:t>Compte tenu de la signature le 30 janvier 2013 du protocole d’accord régional sur la mise en œuvre de la procédure de valorisation des remises gratuites (VRG) ;</w:t>
      </w:r>
    </w:p>
    <w:p w:rsidR="003B3BA8" w:rsidRDefault="003B3BA8" w:rsidP="003B3BA8">
      <w:r w:rsidRPr="00172733">
        <w:t>Compte tenu de la signature le 22 juin 2016 de l’avenant n°1 au protocole d’accord régional sur la mise en œuvre de la procédure de valorisation des remises gratuites (VRG) ;</w:t>
      </w:r>
    </w:p>
    <w:p w:rsidR="003B3BA8" w:rsidRPr="00172733" w:rsidRDefault="003B3BA8" w:rsidP="003B3BA8">
      <w:r w:rsidRPr="00AE3C61">
        <w:t>Compte tenu de la signature le 26 février 2018 de l’avenant n°1 au protocole d’accord régional sur la mise en œuvre de la procédure de versement de la part couverte par le tarif (PCT) pour les travaux de raccordement ci-après annexé ;</w:t>
      </w:r>
    </w:p>
    <w:p w:rsidR="003B3BA8" w:rsidRPr="00454CDC" w:rsidRDefault="003B3BA8" w:rsidP="003B3BA8">
      <w:r w:rsidRPr="00454CDC">
        <w:t>Compte tenu qu</w:t>
      </w:r>
      <w:r>
        <w:t xml:space="preserve">’il est proposé de poursuivre ce dispositif,  </w:t>
      </w:r>
    </w:p>
    <w:p w:rsidR="003B3BA8" w:rsidRDefault="003B3BA8" w:rsidP="003B3BA8">
      <w:r>
        <w:t>Il est convenu ce qui suit :</w:t>
      </w:r>
    </w:p>
    <w:p w:rsidR="003B3BA8" w:rsidRPr="00BF4662" w:rsidRDefault="003B3BA8" w:rsidP="00BF4662">
      <w:pPr>
        <w:tabs>
          <w:tab w:val="left" w:pos="8355"/>
        </w:tabs>
        <w:rPr>
          <w:sz w:val="10"/>
          <w:szCs w:val="10"/>
        </w:rPr>
      </w:pPr>
    </w:p>
    <w:p w:rsidR="003B3BA8" w:rsidRPr="0021043C" w:rsidRDefault="003B3BA8" w:rsidP="00BF4662">
      <w:pPr>
        <w:rPr>
          <w:b/>
          <w:color w:val="006699"/>
        </w:rPr>
      </w:pPr>
      <w:r w:rsidRPr="0021043C">
        <w:rPr>
          <w:b/>
          <w:color w:val="006699"/>
        </w:rPr>
        <w:t>Article 1</w:t>
      </w:r>
      <w:r w:rsidRPr="00AD4244">
        <w:rPr>
          <w:b/>
          <w:color w:val="006699"/>
          <w:vertAlign w:val="superscript"/>
        </w:rPr>
        <w:t>er</w:t>
      </w:r>
      <w:r w:rsidRPr="0021043C">
        <w:rPr>
          <w:b/>
          <w:color w:val="006699"/>
        </w:rPr>
        <w:t xml:space="preserve"> – Objet</w:t>
      </w:r>
    </w:p>
    <w:p w:rsidR="003B3BA8" w:rsidRDefault="003B3BA8" w:rsidP="003B3BA8">
      <w:r>
        <w:t xml:space="preserve">Le présent avenant a pour objet l’application de l’avenant n°3 au protocole </w:t>
      </w:r>
      <w:r w:rsidRPr="00AE3C61">
        <w:t>national</w:t>
      </w:r>
      <w:r>
        <w:t xml:space="preserve"> PCT signé le 26 juin 2009 relatif au versement par Enedis aux autorités concédantes maîtres d’ouvrage de travaux de raccordement de la part couverte par le tarif (PCT) ci-après annexé.</w:t>
      </w:r>
    </w:p>
    <w:p w:rsidR="003B3BA8" w:rsidRPr="00BF4662" w:rsidRDefault="003B3BA8" w:rsidP="003B3BA8">
      <w:pPr>
        <w:rPr>
          <w:b/>
          <w:color w:val="006699"/>
          <w:sz w:val="10"/>
          <w:szCs w:val="10"/>
        </w:rPr>
      </w:pPr>
    </w:p>
    <w:p w:rsidR="003B3BA8" w:rsidRPr="00157780" w:rsidRDefault="003B3BA8" w:rsidP="003B3BA8">
      <w:pPr>
        <w:rPr>
          <w:b/>
          <w:color w:val="006699"/>
        </w:rPr>
      </w:pPr>
      <w:r w:rsidRPr="00157780">
        <w:rPr>
          <w:b/>
          <w:color w:val="006699"/>
        </w:rPr>
        <w:t xml:space="preserve">Article 2 - Mise en œuvre </w:t>
      </w:r>
    </w:p>
    <w:p w:rsidR="003B3BA8" w:rsidRPr="00120650" w:rsidRDefault="003B3BA8" w:rsidP="003B3BA8">
      <w:pPr>
        <w:rPr>
          <w:strike/>
        </w:rPr>
      </w:pPr>
      <w:r>
        <w:t xml:space="preserve">L’autorité concédante et le concessionnaire mettent en œuvre les dispositions de l’avenant n°3 au protocole </w:t>
      </w:r>
      <w:r w:rsidRPr="00AE3C61">
        <w:t>national</w:t>
      </w:r>
      <w:r>
        <w:t xml:space="preserve"> PCT précité sur le territoire de la concession tel que défini à l’article 4 du </w:t>
      </w:r>
      <w:r w:rsidRPr="00AE3C61">
        <w:t>contrat</w:t>
      </w:r>
      <w:r>
        <w:t xml:space="preserve"> de concession signée le </w:t>
      </w:r>
      <w:r w:rsidRPr="00AE3C61">
        <w:t>30 juillet 1992</w:t>
      </w:r>
      <w:r>
        <w:t xml:space="preserve">, y compris les dispositions expérimentales de l’article 3 dudit avenant </w:t>
      </w:r>
      <w:r w:rsidRPr="00172733">
        <w:t xml:space="preserve">mais sans préjudice des dispositions spécifiques n’engageant pas le FACE définies dans les protocoles et avenant régionaux </w:t>
      </w:r>
      <w:r>
        <w:t>préexistants ci-dessus rappelés</w:t>
      </w:r>
      <w:r w:rsidRPr="006A6AC5">
        <w:t>. Cet avenant comporte également en annexe 1 un modèle de bordereau trimestriel adapté aux modalités de traitement de la PCT par le SDE35.</w:t>
      </w:r>
      <w:r>
        <w:t xml:space="preserve"> </w:t>
      </w:r>
    </w:p>
    <w:p w:rsidR="003B3BA8" w:rsidRPr="00BF4662" w:rsidRDefault="003B3BA8" w:rsidP="003B3BA8">
      <w:pPr>
        <w:rPr>
          <w:sz w:val="10"/>
          <w:szCs w:val="10"/>
        </w:rPr>
      </w:pPr>
    </w:p>
    <w:p w:rsidR="003B3BA8" w:rsidRPr="00BF536D" w:rsidRDefault="003B3BA8" w:rsidP="003B3BA8">
      <w:pPr>
        <w:rPr>
          <w:b/>
          <w:color w:val="0070C0"/>
        </w:rPr>
      </w:pPr>
      <w:r w:rsidRPr="00BF536D">
        <w:rPr>
          <w:b/>
          <w:color w:val="0070C0"/>
        </w:rPr>
        <w:t>Article 3 - Bilan périodique</w:t>
      </w:r>
    </w:p>
    <w:p w:rsidR="003B3BA8" w:rsidRDefault="003B3BA8" w:rsidP="003B3BA8">
      <w:r>
        <w:t>Les parties conviennent d’établir un bilan périodique de la mise en œuvre des dispositions du protocole sur le territoire de la concession et de faire part des éventuelles difficultés rencontrées, à la FNCCR et à Enedis, chacune pour ce qui la concerne.</w:t>
      </w:r>
    </w:p>
    <w:p w:rsidR="00BF4662" w:rsidRPr="00BF4662" w:rsidRDefault="00BF4662" w:rsidP="003B3BA8">
      <w:pPr>
        <w:rPr>
          <w:b/>
          <w:color w:val="0070C0"/>
          <w:sz w:val="10"/>
          <w:szCs w:val="10"/>
        </w:rPr>
      </w:pPr>
    </w:p>
    <w:p w:rsidR="003B3BA8" w:rsidRPr="00BF536D" w:rsidRDefault="003B3BA8" w:rsidP="003B3BA8">
      <w:pPr>
        <w:rPr>
          <w:b/>
          <w:color w:val="0070C0"/>
        </w:rPr>
      </w:pPr>
      <w:r w:rsidRPr="00BF536D">
        <w:rPr>
          <w:b/>
          <w:color w:val="0070C0"/>
        </w:rPr>
        <w:t>Article 4 – Règlement amiable</w:t>
      </w:r>
    </w:p>
    <w:p w:rsidR="003B3BA8" w:rsidRDefault="003B3BA8" w:rsidP="003B3BA8">
      <w:r>
        <w:t xml:space="preserve">En cas de contestation relative à l’interprétation ou à l’exécution du présent avenant, les Parties s’engagent à se rencontrer en vue de rechercher une solution amiable. </w:t>
      </w:r>
    </w:p>
    <w:p w:rsidR="003B3BA8" w:rsidRDefault="003B3BA8" w:rsidP="003B3BA8">
      <w:r>
        <w:t>A défaut de solution amiable, les contestations seront traitées conformément aux stipulations du contrat de concession.</w:t>
      </w:r>
    </w:p>
    <w:p w:rsidR="00BF4662" w:rsidRPr="00BF4662" w:rsidRDefault="00BF4662" w:rsidP="003B3BA8">
      <w:pPr>
        <w:rPr>
          <w:sz w:val="10"/>
          <w:szCs w:val="10"/>
        </w:rPr>
      </w:pPr>
    </w:p>
    <w:p w:rsidR="003B3BA8" w:rsidRDefault="003B3BA8" w:rsidP="003B3BA8">
      <w:pPr>
        <w:rPr>
          <w:b/>
          <w:color w:val="006699"/>
        </w:rPr>
      </w:pPr>
      <w:r>
        <w:rPr>
          <w:b/>
          <w:color w:val="006699"/>
        </w:rPr>
        <w:t>Article 5</w:t>
      </w:r>
      <w:r w:rsidRPr="0021043C">
        <w:rPr>
          <w:b/>
          <w:color w:val="006699"/>
        </w:rPr>
        <w:t xml:space="preserve"> – </w:t>
      </w:r>
      <w:r w:rsidRPr="00DC123D">
        <w:rPr>
          <w:b/>
          <w:color w:val="006699"/>
        </w:rPr>
        <w:t>Date d'effet et durée</w:t>
      </w:r>
    </w:p>
    <w:p w:rsidR="003B3BA8" w:rsidRDefault="003B3BA8" w:rsidP="003B3BA8">
      <w:r>
        <w:t>Le présent avenant entrera en vigueur lorsqu’il aura été transmis à la Préfecture d’Ille et Vilaine et rendu exécutoire conformément au code général des collectivités territoriales.</w:t>
      </w:r>
    </w:p>
    <w:p w:rsidR="003B3BA8" w:rsidRDefault="003B3BA8" w:rsidP="003B3BA8">
      <w:r>
        <w:t>Le présent avenant prendra fin le 31 décembre 2021.</w:t>
      </w:r>
    </w:p>
    <w:p w:rsidR="003B3BA8" w:rsidRPr="00037897" w:rsidRDefault="003B3BA8" w:rsidP="003B3BA8">
      <w:r>
        <w:t>Toutefois, en cas de signature d’un cahier des charges de concession intégrant notamment dans une de ses annexes des dispositions relatives à la PCT, celles-ci se substituent de plein droit aux dispositions du présent avenant.</w:t>
      </w:r>
    </w:p>
    <w:p w:rsidR="003B3BA8" w:rsidRDefault="003B3BA8" w:rsidP="003B3BA8">
      <w:r>
        <w:t>Fait en 4 exemplaires originaux, paraphés sur chaque page et signés seulement à la dernière page</w:t>
      </w:r>
    </w:p>
    <w:p w:rsidR="003B3BA8" w:rsidRPr="00BF4662" w:rsidRDefault="003B3BA8" w:rsidP="003B3BA8">
      <w:pPr>
        <w:rPr>
          <w:sz w:val="10"/>
          <w:szCs w:val="10"/>
        </w:rPr>
      </w:pPr>
    </w:p>
    <w:p w:rsidR="003B3BA8" w:rsidRDefault="003B3BA8" w:rsidP="003B3BA8">
      <w:r>
        <w:t>Fait à Thorigné-Fouillard le           /           / 2018,</w:t>
      </w:r>
    </w:p>
    <w:p w:rsidR="003B3BA8" w:rsidRPr="00BF4662" w:rsidRDefault="003B3BA8" w:rsidP="00BF4662">
      <w:pPr>
        <w:rPr>
          <w:sz w:val="10"/>
          <w:szCs w:val="10"/>
        </w:rPr>
      </w:pPr>
    </w:p>
    <w:tbl>
      <w:tblPr>
        <w:tblW w:w="9889" w:type="dxa"/>
        <w:tblLook w:val="04A0" w:firstRow="1" w:lastRow="0" w:firstColumn="1" w:lastColumn="0" w:noHBand="0" w:noVBand="1"/>
      </w:tblPr>
      <w:tblGrid>
        <w:gridCol w:w="4503"/>
        <w:gridCol w:w="2268"/>
        <w:gridCol w:w="3118"/>
      </w:tblGrid>
      <w:tr w:rsidR="003B3BA8" w:rsidTr="00902F0C">
        <w:tc>
          <w:tcPr>
            <w:tcW w:w="4503" w:type="dxa"/>
          </w:tcPr>
          <w:p w:rsidR="003B3BA8" w:rsidRDefault="003B3BA8" w:rsidP="00902F0C">
            <w:pPr>
              <w:jc w:val="center"/>
            </w:pPr>
            <w:r w:rsidRPr="003F08D5">
              <w:rPr>
                <w:b/>
              </w:rPr>
              <w:t>Pour l’autorité concédante</w:t>
            </w:r>
          </w:p>
        </w:tc>
        <w:tc>
          <w:tcPr>
            <w:tcW w:w="5386" w:type="dxa"/>
            <w:gridSpan w:val="2"/>
          </w:tcPr>
          <w:p w:rsidR="003B3BA8" w:rsidRDefault="003B3BA8" w:rsidP="00902F0C">
            <w:pPr>
              <w:ind w:left="1551" w:hanging="1551"/>
              <w:jc w:val="center"/>
            </w:pPr>
            <w:r w:rsidRPr="003F08D5">
              <w:rPr>
                <w:b/>
              </w:rPr>
              <w:t>Pour le concessionnaire</w:t>
            </w:r>
          </w:p>
        </w:tc>
      </w:tr>
      <w:tr w:rsidR="003B3BA8" w:rsidTr="00902F0C">
        <w:tc>
          <w:tcPr>
            <w:tcW w:w="4503" w:type="dxa"/>
          </w:tcPr>
          <w:p w:rsidR="003B3BA8" w:rsidRPr="003F08D5" w:rsidRDefault="003B3BA8" w:rsidP="00902F0C">
            <w:pPr>
              <w:jc w:val="center"/>
              <w:rPr>
                <w:b/>
              </w:rPr>
            </w:pPr>
            <w:r w:rsidRPr="003F08D5">
              <w:rPr>
                <w:b/>
              </w:rPr>
              <w:t>Le Président du SDE35</w:t>
            </w:r>
          </w:p>
          <w:p w:rsidR="003B3BA8" w:rsidRDefault="003B3BA8" w:rsidP="00902F0C">
            <w:pPr>
              <w:jc w:val="center"/>
            </w:pPr>
          </w:p>
          <w:p w:rsidR="003B3BA8" w:rsidRDefault="003B3BA8" w:rsidP="00902F0C">
            <w:pPr>
              <w:jc w:val="center"/>
            </w:pPr>
          </w:p>
          <w:p w:rsidR="003B3BA8" w:rsidRPr="003756A9" w:rsidRDefault="003B3BA8" w:rsidP="00902F0C">
            <w:pPr>
              <w:jc w:val="center"/>
              <w:rPr>
                <w:sz w:val="8"/>
              </w:rPr>
            </w:pPr>
          </w:p>
          <w:p w:rsidR="003B3BA8" w:rsidRDefault="003B3BA8" w:rsidP="00902F0C">
            <w:pPr>
              <w:jc w:val="center"/>
            </w:pPr>
            <w:r w:rsidRPr="00261277">
              <w:rPr>
                <w:b/>
              </w:rPr>
              <w:t>Didier NOUYOU</w:t>
            </w:r>
          </w:p>
        </w:tc>
        <w:tc>
          <w:tcPr>
            <w:tcW w:w="2268" w:type="dxa"/>
          </w:tcPr>
          <w:p w:rsidR="003B3BA8" w:rsidRPr="003F08D5" w:rsidRDefault="003B3BA8" w:rsidP="00902F0C">
            <w:pPr>
              <w:jc w:val="center"/>
              <w:rPr>
                <w:b/>
              </w:rPr>
            </w:pPr>
            <w:r>
              <w:t>Le Directeur</w:t>
            </w:r>
            <w:r w:rsidRPr="003F08D5">
              <w:rPr>
                <w:b/>
              </w:rPr>
              <w:t xml:space="preserve"> </w:t>
            </w:r>
          </w:p>
          <w:p w:rsidR="003B3BA8" w:rsidRDefault="003B3BA8" w:rsidP="00902F0C">
            <w:pPr>
              <w:jc w:val="center"/>
              <w:rPr>
                <w:b/>
              </w:rPr>
            </w:pPr>
            <w:r>
              <w:t>Territorial</w:t>
            </w:r>
            <w:r w:rsidRPr="003F08D5">
              <w:rPr>
                <w:b/>
              </w:rPr>
              <w:t xml:space="preserve"> </w:t>
            </w:r>
            <w:r>
              <w:rPr>
                <w:b/>
              </w:rPr>
              <w:t>Enedis</w:t>
            </w:r>
          </w:p>
          <w:p w:rsidR="003B3BA8" w:rsidRPr="003F08D5" w:rsidRDefault="003B3BA8" w:rsidP="00902F0C">
            <w:pPr>
              <w:jc w:val="center"/>
              <w:rPr>
                <w:b/>
              </w:rPr>
            </w:pPr>
          </w:p>
          <w:p w:rsidR="003B3BA8" w:rsidRDefault="003B3BA8" w:rsidP="00902F0C">
            <w:pPr>
              <w:spacing w:after="240"/>
            </w:pPr>
            <w:r>
              <w:rPr>
                <w:b/>
              </w:rPr>
              <w:t xml:space="preserve">          Marc POSNIC</w:t>
            </w:r>
          </w:p>
        </w:tc>
        <w:tc>
          <w:tcPr>
            <w:tcW w:w="3118" w:type="dxa"/>
          </w:tcPr>
          <w:p w:rsidR="003B3BA8" w:rsidRPr="003F08D5" w:rsidRDefault="003B3BA8" w:rsidP="00902F0C">
            <w:pPr>
              <w:jc w:val="center"/>
              <w:rPr>
                <w:b/>
              </w:rPr>
            </w:pPr>
            <w:r>
              <w:t>Le Directeur du Développement Territorial</w:t>
            </w:r>
            <w:r w:rsidRPr="003F08D5">
              <w:rPr>
                <w:b/>
              </w:rPr>
              <w:t xml:space="preserve"> EDF</w:t>
            </w:r>
          </w:p>
          <w:p w:rsidR="003B3BA8" w:rsidRPr="003F08D5" w:rsidRDefault="003B3BA8" w:rsidP="00902F0C">
            <w:pPr>
              <w:jc w:val="center"/>
              <w:rPr>
                <w:b/>
              </w:rPr>
            </w:pPr>
          </w:p>
          <w:p w:rsidR="003B3BA8" w:rsidRPr="003756A9" w:rsidRDefault="003B3BA8" w:rsidP="00902F0C">
            <w:pPr>
              <w:jc w:val="center"/>
              <w:rPr>
                <w:b/>
                <w:sz w:val="8"/>
              </w:rPr>
            </w:pPr>
          </w:p>
          <w:p w:rsidR="003B3BA8" w:rsidRDefault="003B3BA8" w:rsidP="00902F0C">
            <w:pPr>
              <w:jc w:val="center"/>
            </w:pPr>
            <w:r>
              <w:rPr>
                <w:b/>
              </w:rPr>
              <w:t>Frédéric COSPEREC</w:t>
            </w:r>
          </w:p>
        </w:tc>
      </w:tr>
    </w:tbl>
    <w:p w:rsidR="003B3BA8" w:rsidRDefault="003B3BA8" w:rsidP="003B3BA8">
      <w:pPr>
        <w:rPr>
          <w:b/>
          <w:sz w:val="32"/>
          <w:szCs w:val="32"/>
        </w:rPr>
      </w:pPr>
    </w:p>
    <w:p w:rsidR="003B3BA8" w:rsidRPr="003B3BA8" w:rsidRDefault="003B3BA8" w:rsidP="003B3BA8">
      <w:pPr>
        <w:jc w:val="center"/>
        <w:rPr>
          <w:b/>
          <w:sz w:val="24"/>
        </w:rPr>
      </w:pPr>
      <w:r w:rsidRPr="003B3BA8">
        <w:rPr>
          <w:b/>
          <w:sz w:val="24"/>
        </w:rPr>
        <w:t xml:space="preserve">ANNEXE </w:t>
      </w:r>
    </w:p>
    <w:p w:rsidR="003B3BA8" w:rsidRPr="003B3BA8" w:rsidRDefault="003B3BA8" w:rsidP="003B3BA8">
      <w:pPr>
        <w:jc w:val="center"/>
        <w:rPr>
          <w:b/>
          <w:szCs w:val="22"/>
        </w:rPr>
      </w:pPr>
      <w:r w:rsidRPr="003B3BA8">
        <w:rPr>
          <w:b/>
          <w:szCs w:val="22"/>
        </w:rPr>
        <w:t>MODELE DE BORDEREAU TRIMESTRIEL LISTANT LES AFFAIRES DE RACCORDEMENT SOUS MAITRISE D’OUVRAGE DU SDE35</w:t>
      </w:r>
    </w:p>
    <w:p w:rsidR="003B3BA8" w:rsidRDefault="003B3BA8" w:rsidP="003B3BA8">
      <w:pPr>
        <w:rPr>
          <w:b/>
          <w:sz w:val="32"/>
          <w:szCs w:val="32"/>
        </w:rPr>
      </w:pPr>
    </w:p>
    <w:p w:rsidR="003B3BA8" w:rsidRPr="001B736E" w:rsidRDefault="003B3BA8" w:rsidP="003B3BA8">
      <w:pPr>
        <w:rPr>
          <w:b/>
          <w:sz w:val="32"/>
          <w:szCs w:val="32"/>
        </w:rPr>
      </w:pPr>
    </w:p>
    <w:p w:rsidR="003B3BA8" w:rsidRDefault="003B3BA8" w:rsidP="003B3BA8">
      <w:pPr>
        <w:ind w:left="2127"/>
        <w:rPr>
          <w:b/>
          <w:sz w:val="72"/>
          <w:szCs w:val="72"/>
        </w:rPr>
      </w:pPr>
      <w:r w:rsidRPr="007B15A2">
        <w:rPr>
          <w:noProof/>
        </w:rPr>
        <w:drawing>
          <wp:anchor distT="0" distB="0" distL="114300" distR="114300" simplePos="0" relativeHeight="251664384" behindDoc="0" locked="0" layoutInCell="1" allowOverlap="1" wp14:anchorId="24F0C87C" wp14:editId="44480C79">
            <wp:simplePos x="0" y="0"/>
            <wp:positionH relativeFrom="margin">
              <wp:posOffset>-1178560</wp:posOffset>
            </wp:positionH>
            <wp:positionV relativeFrom="margin">
              <wp:posOffset>3181350</wp:posOffset>
            </wp:positionV>
            <wp:extent cx="8099425" cy="2940050"/>
            <wp:effectExtent l="7938" t="0" r="4762" b="4763"/>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099425" cy="2940050"/>
                    </a:xfrm>
                    <a:prstGeom prst="rect">
                      <a:avLst/>
                    </a:prstGeom>
                    <a:noFill/>
                    <a:ln>
                      <a:noFill/>
                    </a:ln>
                  </pic:spPr>
                </pic:pic>
              </a:graphicData>
            </a:graphic>
            <wp14:sizeRelH relativeFrom="margin">
              <wp14:pctWidth>0</wp14:pctWidth>
            </wp14:sizeRelH>
          </wp:anchor>
        </w:drawing>
      </w:r>
      <w:r>
        <w:rPr>
          <w:b/>
          <w:sz w:val="72"/>
          <w:szCs w:val="72"/>
        </w:rPr>
        <w:br w:type="page"/>
      </w:r>
    </w:p>
    <w:p w:rsidR="003B3BA8" w:rsidRDefault="003B3BA8" w:rsidP="003B3BA8"/>
    <w:p w:rsidR="003B3BA8" w:rsidRDefault="003B3BA8" w:rsidP="003B3BA8">
      <w:pPr>
        <w:ind w:hanging="426"/>
        <w:jc w:val="center"/>
        <w:rPr>
          <w:sz w:val="24"/>
        </w:rPr>
      </w:pPr>
      <w:r w:rsidRPr="003427A0">
        <w:rPr>
          <w:noProof/>
        </w:rPr>
        <w:drawing>
          <wp:inline distT="0" distB="0" distL="0" distR="0" wp14:anchorId="118317E3" wp14:editId="6D381616">
            <wp:extent cx="5825490" cy="8258810"/>
            <wp:effectExtent l="0" t="0" r="381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825490" cy="8258810"/>
                    </a:xfrm>
                    <a:prstGeom prst="rect">
                      <a:avLst/>
                    </a:prstGeom>
                  </pic:spPr>
                </pic:pic>
              </a:graphicData>
            </a:graphic>
          </wp:inline>
        </w:drawing>
      </w:r>
    </w:p>
    <w:p w:rsidR="003B3BA8" w:rsidRDefault="003B3BA8" w:rsidP="003B3BA8">
      <w:pPr>
        <w:ind w:hanging="426"/>
        <w:jc w:val="center"/>
        <w:rPr>
          <w:sz w:val="24"/>
        </w:rPr>
      </w:pPr>
    </w:p>
    <w:p w:rsidR="003B3BA8" w:rsidRDefault="003B3BA8" w:rsidP="003B3BA8">
      <w:pPr>
        <w:ind w:hanging="426"/>
        <w:jc w:val="center"/>
        <w:rPr>
          <w:sz w:val="24"/>
        </w:rPr>
      </w:pPr>
    </w:p>
    <w:p w:rsidR="003B3BA8" w:rsidRDefault="003B3BA8" w:rsidP="003B3BA8">
      <w:pPr>
        <w:ind w:hanging="426"/>
        <w:jc w:val="center"/>
        <w:rPr>
          <w:sz w:val="24"/>
        </w:rPr>
      </w:pPr>
      <w:r w:rsidRPr="003427A0">
        <w:rPr>
          <w:noProof/>
        </w:rPr>
        <w:lastRenderedPageBreak/>
        <w:drawing>
          <wp:inline distT="0" distB="0" distL="0" distR="0" wp14:anchorId="1BB433CB" wp14:editId="6B33B881">
            <wp:extent cx="5897880" cy="8258810"/>
            <wp:effectExtent l="0" t="0" r="762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897880" cy="8258810"/>
                    </a:xfrm>
                    <a:prstGeom prst="rect">
                      <a:avLst/>
                    </a:prstGeom>
                  </pic:spPr>
                </pic:pic>
              </a:graphicData>
            </a:graphic>
          </wp:inline>
        </w:drawing>
      </w:r>
    </w:p>
    <w:p w:rsidR="003B3BA8" w:rsidRDefault="003B3BA8">
      <w:pPr>
        <w:spacing w:after="200" w:line="276" w:lineRule="auto"/>
        <w:jc w:val="left"/>
        <w:rPr>
          <w:b/>
        </w:rPr>
      </w:pPr>
    </w:p>
    <w:p w:rsidR="00902F0C" w:rsidRDefault="00902F0C">
      <w:pPr>
        <w:spacing w:after="200" w:line="276" w:lineRule="auto"/>
        <w:jc w:val="left"/>
        <w:rPr>
          <w:b/>
        </w:rPr>
      </w:pPr>
      <w:r>
        <w:rPr>
          <w:b/>
        </w:rPr>
        <w:br w:type="page"/>
      </w:r>
    </w:p>
    <w:p w:rsidR="00234C0D" w:rsidRPr="002D2150" w:rsidRDefault="002D2150">
      <w:pPr>
        <w:spacing w:after="200" w:line="276" w:lineRule="auto"/>
        <w:jc w:val="left"/>
        <w:rPr>
          <w:b/>
          <w:u w:val="single"/>
        </w:rPr>
      </w:pPr>
      <w:r w:rsidRPr="002D2150">
        <w:rPr>
          <w:b/>
          <w:u w:val="single"/>
        </w:rPr>
        <w:lastRenderedPageBreak/>
        <w:t>ANNEXE 4</w:t>
      </w:r>
    </w:p>
    <w:p w:rsidR="00234C0D" w:rsidRPr="002B0C3C" w:rsidRDefault="00234C0D" w:rsidP="00234C0D">
      <w:pPr>
        <w:pStyle w:val="Titrepoint"/>
        <w:numPr>
          <w:ilvl w:val="0"/>
          <w:numId w:val="0"/>
        </w:numPr>
        <w:jc w:val="center"/>
        <w:rPr>
          <w:b/>
          <w:bCs/>
          <w:smallCaps/>
          <w:sz w:val="24"/>
        </w:rPr>
      </w:pPr>
      <w:bookmarkStart w:id="3" w:name="_Toc510517648"/>
      <w:bookmarkStart w:id="4" w:name="_Toc510525948"/>
      <w:r w:rsidRPr="002B0C3C">
        <w:rPr>
          <w:b/>
          <w:bCs/>
          <w:smallCaps/>
          <w:sz w:val="24"/>
        </w:rPr>
        <w:t xml:space="preserve"> Conférence Loi NOME</w:t>
      </w:r>
      <w:r>
        <w:rPr>
          <w:b/>
          <w:bCs/>
          <w:smallCaps/>
          <w:sz w:val="24"/>
        </w:rPr>
        <w:t xml:space="preserve"> - </w:t>
      </w:r>
      <w:bookmarkEnd w:id="3"/>
      <w:r>
        <w:rPr>
          <w:b/>
          <w:bCs/>
          <w:smallCaps/>
          <w:sz w:val="24"/>
        </w:rPr>
        <w:t>Synthèse</w:t>
      </w:r>
      <w:bookmarkEnd w:id="4"/>
    </w:p>
    <w:p w:rsidR="00234C0D" w:rsidRPr="002B0C3C" w:rsidRDefault="00234C0D" w:rsidP="00234C0D">
      <w:pPr>
        <w:pStyle w:val="Titrepoint"/>
        <w:numPr>
          <w:ilvl w:val="0"/>
          <w:numId w:val="0"/>
        </w:numPr>
        <w:jc w:val="center"/>
        <w:rPr>
          <w:sz w:val="24"/>
        </w:rPr>
      </w:pPr>
      <w:bookmarkStart w:id="5" w:name="_Toc510517649"/>
      <w:bookmarkStart w:id="6" w:name="_Toc510525949"/>
      <w:r w:rsidRPr="002B0C3C">
        <w:rPr>
          <w:b/>
          <w:bCs/>
          <w:smallCaps/>
          <w:sz w:val="24"/>
        </w:rPr>
        <w:t>2018-2021 : 157 millions d’euros investis sur le réseau de distribution au service des bretiliens</w:t>
      </w:r>
      <w:bookmarkEnd w:id="5"/>
      <w:bookmarkEnd w:id="6"/>
    </w:p>
    <w:p w:rsidR="00234C0D" w:rsidRDefault="00234C0D" w:rsidP="00234C0D">
      <w:r w:rsidRPr="00FF16E6">
        <w:br/>
      </w:r>
      <w:r w:rsidRPr="002B0C3C">
        <w:rPr>
          <w:bCs/>
          <w:iCs/>
        </w:rPr>
        <w:t>Plus de deux fois le diamètre équatorial de la terre, c’est la longueur que représente le réseau de distribution électrique en Ille et Vilaine</w:t>
      </w:r>
      <w:r w:rsidRPr="002B0C3C">
        <w:t xml:space="preserve"> (25 900 km). </w:t>
      </w:r>
    </w:p>
    <w:p w:rsidR="00234C0D" w:rsidRDefault="00234C0D" w:rsidP="00234C0D"/>
    <w:p w:rsidR="00234C0D" w:rsidRPr="002B0C3C" w:rsidRDefault="00234C0D" w:rsidP="00234C0D">
      <w:pPr>
        <w:rPr>
          <w:bCs/>
          <w:iCs/>
        </w:rPr>
      </w:pPr>
      <w:r w:rsidRPr="002B0C3C">
        <w:t xml:space="preserve">Propriété des collectivités, en l’occurrence du SDE35, et exploité par Enedis, la gestion du patrimoine de ce réseau et de la qualité de la distribution de l’électricité est essentielle. </w:t>
      </w:r>
      <w:r w:rsidRPr="002B0C3C">
        <w:rPr>
          <w:bCs/>
          <w:iCs/>
        </w:rPr>
        <w:t xml:space="preserve">Elle représente des enjeux financiers considérables. </w:t>
      </w:r>
    </w:p>
    <w:p w:rsidR="00234C0D" w:rsidRPr="002B0C3C" w:rsidRDefault="00234C0D" w:rsidP="00234C0D"/>
    <w:p w:rsidR="00234C0D" w:rsidRDefault="00234C0D" w:rsidP="00234C0D">
      <w:r w:rsidRPr="002B0C3C">
        <w:t xml:space="preserve">Chaque année, sous l’égide du Préfet, SDE35 et Enedis font un point complet de l’état du patrimoine et des investissements réalisés et à venir. Le 28 février 2017 s’est ainsi tenue la 6éme Conférence Départementale sur les investissements du réseau électrique instaurée par la loi NOME en 2010. </w:t>
      </w:r>
    </w:p>
    <w:p w:rsidR="00234C0D" w:rsidRPr="002B0C3C" w:rsidRDefault="00234C0D" w:rsidP="00234C0D"/>
    <w:p w:rsidR="00234C0D" w:rsidRDefault="00234C0D" w:rsidP="00234C0D">
      <w:pPr>
        <w:rPr>
          <w:rFonts w:ascii="Calibri" w:hAnsi="Calibri" w:cs="Calibri"/>
        </w:rPr>
      </w:pPr>
      <w:r w:rsidRPr="002B0C3C">
        <w:rPr>
          <w:bCs/>
          <w:iCs/>
        </w:rPr>
        <w:t>Le SDE35 et Enedis vont investir 157 millions d’euros entre 2018 et 2021 au service de l’alimentation électrique des brétiliens. Zoom sur l’état du réseau de distribution et sur les investissements passés et à venir</w:t>
      </w:r>
      <w:r>
        <w:rPr>
          <w:rStyle w:val="Emphaseintense"/>
          <w:color w:val="7030A0"/>
        </w:rPr>
        <w:t>.</w:t>
      </w:r>
    </w:p>
    <w:p w:rsidR="00234C0D" w:rsidRPr="007E47EE" w:rsidRDefault="00234C0D" w:rsidP="00234C0D">
      <w:pPr>
        <w:rPr>
          <w:rFonts w:ascii="Calibri" w:hAnsi="Calibri" w:cs="Calibri"/>
          <w:sz w:val="16"/>
          <w:szCs w:val="16"/>
        </w:rPr>
      </w:pPr>
    </w:p>
    <w:p w:rsidR="00234C0D" w:rsidRPr="00B23057" w:rsidRDefault="00234C0D" w:rsidP="00234C0D">
      <w:pPr>
        <w:rPr>
          <w:rStyle w:val="Rfrenceintense"/>
          <w:sz w:val="24"/>
        </w:rPr>
      </w:pPr>
      <w:r>
        <w:rPr>
          <w:rStyle w:val="Rfrenceintense"/>
          <w:sz w:val="24"/>
        </w:rPr>
        <w:t xml:space="preserve">Un investissement financier, au-delà du programme prévu pour </w:t>
      </w:r>
      <w:r w:rsidRPr="00B23057">
        <w:rPr>
          <w:rStyle w:val="Rfrenceintense"/>
          <w:sz w:val="24"/>
        </w:rPr>
        <w:t>2014 – 2017</w:t>
      </w:r>
    </w:p>
    <w:p w:rsidR="00234C0D" w:rsidRPr="007E47EE" w:rsidRDefault="00234C0D" w:rsidP="00234C0D">
      <w:pPr>
        <w:rPr>
          <w:rFonts w:ascii="Calibri" w:hAnsi="Calibri" w:cs="Calibri"/>
          <w:sz w:val="16"/>
          <w:szCs w:val="16"/>
        </w:rPr>
      </w:pPr>
    </w:p>
    <w:p w:rsidR="00234C0D" w:rsidRDefault="00234C0D" w:rsidP="00234C0D">
      <w:pPr>
        <w:rPr>
          <w:rFonts w:ascii="Calibri" w:hAnsi="Calibri" w:cs="Calibri"/>
        </w:rPr>
      </w:pPr>
      <w:r>
        <w:rPr>
          <w:rFonts w:ascii="Calibri" w:hAnsi="Calibri" w:cs="Calibri"/>
        </w:rPr>
        <w:t>En 2013, le SDE35 et Enedis avaient, à l’issue d’un diagnostic partagé de l’état du réseau, formalisé un programme concerté d’investissement d’un montant de 104 millions d’euros sur 4 ans. L’investissement a été au-delà du programme acté au début de la période.</w:t>
      </w:r>
    </w:p>
    <w:p w:rsidR="00234C0D" w:rsidRDefault="00234C0D" w:rsidP="00234C0D">
      <w:pPr>
        <w:rPr>
          <w:rFonts w:ascii="Calibri" w:hAnsi="Calibri" w:cs="Calibri"/>
        </w:rPr>
      </w:pPr>
    </w:p>
    <w:p w:rsidR="00234C0D" w:rsidRDefault="00234C0D" w:rsidP="00234C0D">
      <w:pPr>
        <w:rPr>
          <w:rFonts w:ascii="Calibri" w:hAnsi="Calibri" w:cs="Calibri"/>
        </w:rPr>
      </w:pPr>
      <w:r>
        <w:rPr>
          <w:rFonts w:ascii="Calibri" w:hAnsi="Calibri" w:cs="Calibri"/>
        </w:rPr>
        <w:t>Ce programme, mené sur 3 ans, a permis</w:t>
      </w:r>
      <w:r w:rsidRPr="00DC74B0">
        <w:rPr>
          <w:rFonts w:ascii="Calibri" w:hAnsi="Calibri" w:cs="Calibri"/>
        </w:rPr>
        <w:t xml:space="preserve"> d’accélérer le renouvellement des réseaux électriques</w:t>
      </w:r>
      <w:r>
        <w:rPr>
          <w:rFonts w:ascii="Calibri" w:hAnsi="Calibri" w:cs="Calibri"/>
        </w:rPr>
        <w:t xml:space="preserve"> </w:t>
      </w:r>
      <w:r w:rsidRPr="00DC74B0">
        <w:rPr>
          <w:rFonts w:ascii="Calibri" w:hAnsi="Calibri" w:cs="Calibri"/>
        </w:rPr>
        <w:t xml:space="preserve">Basse Tension non isolés ou « fils nus », du fait de leur âge et de leur fragilité, mais également de programmer des renforcements de réseaux </w:t>
      </w:r>
      <w:r>
        <w:rPr>
          <w:rFonts w:ascii="Calibri" w:hAnsi="Calibri" w:cs="Calibri"/>
        </w:rPr>
        <w:t>pour accompagner</w:t>
      </w:r>
      <w:r w:rsidRPr="00DC74B0">
        <w:rPr>
          <w:rFonts w:ascii="Calibri" w:hAnsi="Calibri" w:cs="Calibri"/>
        </w:rPr>
        <w:t xml:space="preserve"> le dynamisme démographique du département.</w:t>
      </w:r>
      <w:r>
        <w:rPr>
          <w:rFonts w:ascii="Calibri" w:hAnsi="Calibri" w:cs="Calibri"/>
        </w:rPr>
        <w:t xml:space="preserve"> </w:t>
      </w:r>
    </w:p>
    <w:p w:rsidR="00234C0D" w:rsidRDefault="00234C0D" w:rsidP="00234C0D">
      <w:pPr>
        <w:rPr>
          <w:rFonts w:ascii="Calibri" w:hAnsi="Calibri" w:cs="Calibri"/>
        </w:rPr>
      </w:pPr>
    </w:p>
    <w:p w:rsidR="00234C0D" w:rsidRPr="002B0C3C" w:rsidRDefault="00234C0D" w:rsidP="00234C0D">
      <w:pPr>
        <w:rPr>
          <w:rFonts w:ascii="Calibri" w:hAnsi="Calibri" w:cs="Calibri"/>
          <w:bCs/>
          <w:iCs/>
        </w:rPr>
      </w:pPr>
      <w:r w:rsidRPr="002B0C3C">
        <w:rPr>
          <w:rFonts w:ascii="Calibri" w:hAnsi="Calibri" w:cs="Calibri"/>
          <w:bCs/>
          <w:iCs/>
        </w:rPr>
        <w:t>Le bilan présenté au Préfet a permis de constater une réalisation effective au-delà des objectifs que s’était fixé chaque structure : 113 millions investis en 4 ans.</w:t>
      </w:r>
    </w:p>
    <w:p w:rsidR="00234C0D" w:rsidRPr="00243DC7" w:rsidRDefault="00234C0D" w:rsidP="00130F35">
      <w:pPr>
        <w:pStyle w:val="Paragraphedeliste"/>
        <w:numPr>
          <w:ilvl w:val="0"/>
          <w:numId w:val="15"/>
        </w:numPr>
        <w:spacing w:line="276" w:lineRule="auto"/>
        <w:rPr>
          <w:rFonts w:ascii="Calibri" w:hAnsi="Calibri" w:cs="Calibri"/>
        </w:rPr>
      </w:pPr>
      <w:r w:rsidRPr="00243DC7">
        <w:rPr>
          <w:rFonts w:ascii="Calibri" w:hAnsi="Calibri" w:cs="Calibri"/>
        </w:rPr>
        <w:t>Le SDE 35 a ainsi investi 75 millions d’euro</w:t>
      </w:r>
      <w:r>
        <w:rPr>
          <w:rFonts w:ascii="Calibri" w:hAnsi="Calibri" w:cs="Calibri"/>
        </w:rPr>
        <w:t>s</w:t>
      </w:r>
      <w:r w:rsidRPr="00243DC7">
        <w:rPr>
          <w:rFonts w:ascii="Calibri" w:hAnsi="Calibri" w:cs="Calibri"/>
        </w:rPr>
        <w:t xml:space="preserve"> au lieu des 70,1 prévus, et il a renouvelé 1 020 km de réseaux au lieu des 932 km prévus. Les travaux réalisés par le SDE 35 sont réalisés surtout sur la basse tension (BT : 230 V) et en milieu rural.</w:t>
      </w:r>
    </w:p>
    <w:p w:rsidR="00234C0D" w:rsidRPr="00243DC7" w:rsidRDefault="00234C0D" w:rsidP="00130F35">
      <w:pPr>
        <w:pStyle w:val="Paragraphedeliste"/>
        <w:numPr>
          <w:ilvl w:val="0"/>
          <w:numId w:val="15"/>
        </w:numPr>
        <w:spacing w:line="276" w:lineRule="auto"/>
        <w:rPr>
          <w:rFonts w:ascii="Calibri" w:hAnsi="Calibri" w:cs="Calibri"/>
        </w:rPr>
      </w:pPr>
      <w:r>
        <w:rPr>
          <w:rFonts w:ascii="Calibri" w:hAnsi="Calibri" w:cs="Calibri"/>
        </w:rPr>
        <w:t>Enedis</w:t>
      </w:r>
      <w:r w:rsidRPr="00243DC7">
        <w:rPr>
          <w:rFonts w:ascii="Calibri" w:hAnsi="Calibri" w:cs="Calibri"/>
        </w:rPr>
        <w:t xml:space="preserve"> a ainsi investi 38,5 millions d’euro</w:t>
      </w:r>
      <w:r>
        <w:rPr>
          <w:rFonts w:ascii="Calibri" w:hAnsi="Calibri" w:cs="Calibri"/>
        </w:rPr>
        <w:t>s</w:t>
      </w:r>
      <w:r w:rsidRPr="00243DC7">
        <w:rPr>
          <w:rFonts w:ascii="Calibri" w:hAnsi="Calibri" w:cs="Calibri"/>
        </w:rPr>
        <w:t xml:space="preserve"> au lieu des 33,1 prévus, et il a renouvelé 405 km de réseaux au lieu des 312 km prévus. Les travaux réalisé</w:t>
      </w:r>
      <w:r>
        <w:rPr>
          <w:rFonts w:ascii="Calibri" w:hAnsi="Calibri" w:cs="Calibri"/>
        </w:rPr>
        <w:t>s</w:t>
      </w:r>
      <w:r w:rsidRPr="00243DC7">
        <w:rPr>
          <w:rFonts w:ascii="Calibri" w:hAnsi="Calibri" w:cs="Calibri"/>
        </w:rPr>
        <w:t xml:space="preserve"> par </w:t>
      </w:r>
      <w:r>
        <w:rPr>
          <w:rFonts w:ascii="Calibri" w:hAnsi="Calibri" w:cs="Calibri"/>
        </w:rPr>
        <w:t>Enedis</w:t>
      </w:r>
      <w:r w:rsidRPr="00243DC7">
        <w:rPr>
          <w:rFonts w:ascii="Calibri" w:hAnsi="Calibri" w:cs="Calibri"/>
        </w:rPr>
        <w:t xml:space="preserve"> sont </w:t>
      </w:r>
      <w:r>
        <w:rPr>
          <w:rFonts w:ascii="Calibri" w:hAnsi="Calibri" w:cs="Calibri"/>
        </w:rPr>
        <w:t>engagés</w:t>
      </w:r>
      <w:r w:rsidRPr="00243DC7">
        <w:rPr>
          <w:rFonts w:ascii="Calibri" w:hAnsi="Calibri" w:cs="Calibri"/>
        </w:rPr>
        <w:t xml:space="preserve"> surtout sur la haute tension (HTA : 20 000 V) et en milieu urbain.</w:t>
      </w:r>
    </w:p>
    <w:p w:rsidR="00234C0D" w:rsidRPr="007E47EE" w:rsidRDefault="00234C0D" w:rsidP="00234C0D">
      <w:pPr>
        <w:rPr>
          <w:rFonts w:ascii="Calibri" w:hAnsi="Calibri" w:cs="Calibri"/>
          <w:sz w:val="16"/>
          <w:szCs w:val="16"/>
        </w:rPr>
      </w:pPr>
    </w:p>
    <w:p w:rsidR="00234C0D" w:rsidRDefault="00234C0D" w:rsidP="00234C0D">
      <w:pPr>
        <w:rPr>
          <w:rFonts w:ascii="Calibri" w:hAnsi="Calibri" w:cs="Calibri"/>
        </w:rPr>
      </w:pPr>
      <w:r>
        <w:rPr>
          <w:rFonts w:ascii="Calibri" w:hAnsi="Calibri" w:cs="Calibri"/>
        </w:rPr>
        <w:t>Cette démarche concertée, à l’époque très innovante, a donc montré toute sa pertinence. Le nouveau modèle de contrat de concession entre Enedis et les collectivités, intègre d’ailleurs dorénavant ce principe de programmation pluriannuelle.</w:t>
      </w:r>
    </w:p>
    <w:p w:rsidR="00234C0D" w:rsidRDefault="00234C0D" w:rsidP="00234C0D">
      <w:pPr>
        <w:rPr>
          <w:rStyle w:val="Rfrenceintense"/>
          <w:sz w:val="24"/>
        </w:rPr>
      </w:pPr>
    </w:p>
    <w:p w:rsidR="00234C0D" w:rsidRPr="00B23057" w:rsidRDefault="00234C0D" w:rsidP="00234C0D">
      <w:pPr>
        <w:rPr>
          <w:rStyle w:val="Rfrenceintense"/>
          <w:sz w:val="24"/>
        </w:rPr>
      </w:pPr>
      <w:r>
        <w:rPr>
          <w:rStyle w:val="Rfrenceintense"/>
          <w:sz w:val="24"/>
        </w:rPr>
        <w:t>Evolution de la performance et de l’âge du réseau électrique</w:t>
      </w:r>
    </w:p>
    <w:p w:rsidR="00234C0D" w:rsidRPr="008F321F" w:rsidRDefault="00234C0D" w:rsidP="00234C0D">
      <w:pPr>
        <w:rPr>
          <w:rFonts w:ascii="Calibri" w:hAnsi="Calibri" w:cs="Calibri"/>
          <w:sz w:val="16"/>
          <w:szCs w:val="16"/>
        </w:rPr>
      </w:pPr>
    </w:p>
    <w:p w:rsidR="00234C0D" w:rsidRPr="004008EF" w:rsidRDefault="00234C0D" w:rsidP="00234C0D">
      <w:pPr>
        <w:rPr>
          <w:rFonts w:ascii="Calibri" w:hAnsi="Calibri" w:cs="Calibri"/>
        </w:rPr>
      </w:pPr>
      <w:r w:rsidRPr="002B0C3C">
        <w:rPr>
          <w:rFonts w:ascii="Calibri" w:hAnsi="Calibri" w:cs="Calibri"/>
        </w:rPr>
        <w:t xml:space="preserve">Afin d’évaluer la performance du réseau électrique, un indicateur, nommé « critère B » est utilisé. Il s’agit de la durée moyenne de coupure toutes causes confondues (travaux, incidents …). </w:t>
      </w:r>
      <w:r w:rsidRPr="004008EF">
        <w:rPr>
          <w:rFonts w:ascii="Calibri" w:hAnsi="Calibri" w:cs="Calibri"/>
        </w:rPr>
        <w:t xml:space="preserve">Le temps de coupure moyen d’un brétilien est d’environ 50 mn / an exception faite des conséquences des phénomènes « inhabituels » comme les multiples tempêtes de 2013 et 2016 ainsi que l’incident majeur affectant le réseau de transport amont de 2015. </w:t>
      </w:r>
    </w:p>
    <w:p w:rsidR="00234C0D" w:rsidRPr="004008EF" w:rsidRDefault="00234C0D" w:rsidP="00234C0D">
      <w:pPr>
        <w:rPr>
          <w:rFonts w:ascii="Calibri" w:hAnsi="Calibri" w:cs="Calibri"/>
          <w:b/>
          <w:bCs/>
          <w:iCs/>
        </w:rPr>
      </w:pPr>
    </w:p>
    <w:p w:rsidR="00234C0D" w:rsidRDefault="00234C0D" w:rsidP="00234C0D">
      <w:pPr>
        <w:jc w:val="center"/>
        <w:rPr>
          <w:rFonts w:ascii="Calibri" w:hAnsi="Calibri" w:cs="Calibri"/>
        </w:rPr>
      </w:pPr>
      <w:r>
        <w:rPr>
          <w:rFonts w:cs="Calibri"/>
          <w:noProof/>
          <w:color w:val="F79646" w:themeColor="accent5"/>
        </w:rPr>
        <w:lastRenderedPageBreak/>
        <w:drawing>
          <wp:inline distT="0" distB="0" distL="0" distR="0" wp14:anchorId="4A687C51" wp14:editId="2575FB41">
            <wp:extent cx="5106624" cy="3178340"/>
            <wp:effectExtent l="0" t="0" r="0" b="3175"/>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6624" cy="3178340"/>
                    </a:xfrm>
                    <a:prstGeom prst="rect">
                      <a:avLst/>
                    </a:prstGeom>
                    <a:noFill/>
                  </pic:spPr>
                </pic:pic>
              </a:graphicData>
            </a:graphic>
          </wp:inline>
        </w:drawing>
      </w:r>
    </w:p>
    <w:p w:rsidR="00234C0D" w:rsidRPr="00DD1795" w:rsidRDefault="00234C0D" w:rsidP="00234C0D">
      <w:pPr>
        <w:jc w:val="center"/>
        <w:rPr>
          <w:rFonts w:ascii="Calibri" w:hAnsi="Calibri" w:cs="Calibri"/>
          <w:i/>
          <w:sz w:val="18"/>
        </w:rPr>
      </w:pPr>
      <w:r w:rsidRPr="00DD1795">
        <w:rPr>
          <w:rFonts w:ascii="Calibri" w:hAnsi="Calibri" w:cs="Calibri"/>
          <w:i/>
          <w:sz w:val="18"/>
        </w:rPr>
        <w:t>Remarque : amont indique une interruption liée au réseau Très Haute Tension, géré par RTE, et</w:t>
      </w:r>
      <w:r>
        <w:rPr>
          <w:rFonts w:ascii="Calibri" w:hAnsi="Calibri" w:cs="Calibri"/>
          <w:i/>
          <w:sz w:val="18"/>
        </w:rPr>
        <w:t xml:space="preserve"> donc</w:t>
      </w:r>
      <w:r w:rsidRPr="00DD1795">
        <w:rPr>
          <w:rFonts w:ascii="Calibri" w:hAnsi="Calibri" w:cs="Calibri"/>
          <w:i/>
          <w:sz w:val="18"/>
        </w:rPr>
        <w:t xml:space="preserve"> hors champs de la concession de distribution électrique.</w:t>
      </w:r>
    </w:p>
    <w:p w:rsidR="00234C0D" w:rsidRDefault="00234C0D" w:rsidP="00234C0D">
      <w:pPr>
        <w:rPr>
          <w:rFonts w:ascii="Calibri" w:hAnsi="Calibri" w:cs="Calibri"/>
        </w:rPr>
      </w:pPr>
    </w:p>
    <w:p w:rsidR="00234C0D" w:rsidRDefault="00234C0D" w:rsidP="00234C0D">
      <w:pPr>
        <w:rPr>
          <w:rFonts w:ascii="Calibri" w:hAnsi="Calibri" w:cs="Calibri"/>
        </w:rPr>
      </w:pPr>
      <w:r>
        <w:rPr>
          <w:rFonts w:ascii="Calibri" w:hAnsi="Calibri" w:cs="Calibri"/>
        </w:rPr>
        <w:t xml:space="preserve">En matière d’âge moyen du réseau, le SDE35 a analysé l’évolution de l’âge des ouvrages en distinguant les zones rurales, où il assure la majorité du renouvellement et les zones urbaines et le réseau HTA où Enedis assure la majorité du renouvellement. </w:t>
      </w:r>
    </w:p>
    <w:p w:rsidR="00234C0D" w:rsidRPr="007E47EE" w:rsidRDefault="00234C0D" w:rsidP="00234C0D">
      <w:pPr>
        <w:rPr>
          <w:rStyle w:val="Emphaseintense"/>
          <w:i w:val="0"/>
          <w:color w:val="7030A0"/>
          <w:sz w:val="16"/>
          <w:szCs w:val="16"/>
        </w:rPr>
      </w:pPr>
    </w:p>
    <w:p w:rsidR="00234C0D" w:rsidRDefault="00234C0D" w:rsidP="00234C0D">
      <w:pPr>
        <w:rPr>
          <w:rFonts w:ascii="Calibri" w:hAnsi="Calibri" w:cs="Calibri"/>
          <w:bCs/>
          <w:iCs/>
        </w:rPr>
      </w:pPr>
      <w:r w:rsidRPr="002B0C3C">
        <w:rPr>
          <w:rFonts w:ascii="Calibri" w:hAnsi="Calibri" w:cs="Calibri"/>
          <w:bCs/>
          <w:iCs/>
        </w:rPr>
        <w:t>Sur le réseau Basse Tension (BT), la courbe de vieillissement des ouvrages a été inversée grâce au programme d’investissement.</w:t>
      </w:r>
    </w:p>
    <w:p w:rsidR="00234C0D" w:rsidRPr="002B0C3C" w:rsidRDefault="00234C0D" w:rsidP="00234C0D">
      <w:pPr>
        <w:rPr>
          <w:rFonts w:ascii="Calibri" w:hAnsi="Calibri" w:cs="Calibri"/>
          <w:bCs/>
          <w:iCs/>
        </w:rPr>
      </w:pPr>
    </w:p>
    <w:p w:rsidR="00234C0D" w:rsidRPr="002B0C3C" w:rsidRDefault="00234C0D" w:rsidP="00234C0D">
      <w:pPr>
        <w:rPr>
          <w:rFonts w:ascii="Calibri" w:hAnsi="Calibri" w:cs="Calibri"/>
          <w:bCs/>
          <w:iCs/>
        </w:rPr>
      </w:pPr>
      <w:r w:rsidRPr="002B0C3C">
        <w:rPr>
          <w:rFonts w:ascii="Calibri" w:hAnsi="Calibri" w:cs="Calibri"/>
          <w:bCs/>
          <w:iCs/>
        </w:rPr>
        <w:t xml:space="preserve">Sur le réseau Haute Tension (HTA), les ouvrages en milieu urbain et rural restent vieillissants malgré  des investissements conformes aux engagements pris. </w:t>
      </w:r>
    </w:p>
    <w:p w:rsidR="00234C0D" w:rsidRPr="002B0C3C" w:rsidRDefault="00234C0D" w:rsidP="00234C0D">
      <w:pPr>
        <w:rPr>
          <w:rFonts w:ascii="Calibri" w:hAnsi="Calibri" w:cs="Calibri"/>
          <w:bCs/>
          <w:iCs/>
        </w:rPr>
      </w:pPr>
    </w:p>
    <w:p w:rsidR="00234C0D" w:rsidRDefault="00234C0D" w:rsidP="00234C0D">
      <w:pPr>
        <w:rPr>
          <w:rFonts w:cs="Calibri"/>
          <w:lang w:val="fr-CA"/>
        </w:rPr>
      </w:pPr>
      <w:r w:rsidRPr="006F30B9">
        <w:rPr>
          <w:rFonts w:cs="Calibri"/>
          <w:bCs/>
          <w:iCs/>
          <w:lang w:val="fr-CA"/>
        </w:rPr>
        <w:t>Le programme d’investissement est défini dans l’optique d’atteindre la meilleure satisfaction client en tenant compte des obligations réglementaires (Contrat de service public, décret qualité), de la modernisation du réseau et du niveau de service rendu.</w:t>
      </w:r>
      <w:r>
        <w:rPr>
          <w:rFonts w:cs="Calibri"/>
          <w:bCs/>
          <w:iCs/>
          <w:lang w:val="fr-CA"/>
        </w:rPr>
        <w:t xml:space="preserve"> </w:t>
      </w:r>
      <w:r w:rsidRPr="00C93F03">
        <w:rPr>
          <w:rFonts w:cs="Calibri"/>
          <w:lang w:val="fr-CA"/>
        </w:rPr>
        <w:t xml:space="preserve">Il a été noté que la forte dynamique des réseaux neufs en milieu urbain en Ille et Vilaine </w:t>
      </w:r>
      <w:r>
        <w:rPr>
          <w:rFonts w:cs="Calibri"/>
          <w:lang w:val="fr-CA"/>
        </w:rPr>
        <w:t>impacte peu l’âge moyen eu égard à la forte densité du réseau avec des extensions plus rares et de moindre longueur.</w:t>
      </w:r>
    </w:p>
    <w:p w:rsidR="00FC038D" w:rsidRDefault="00FC038D" w:rsidP="00234C0D">
      <w:pPr>
        <w:rPr>
          <w:rFonts w:cs="Calibri"/>
          <w:lang w:val="fr-CA"/>
        </w:rPr>
      </w:pPr>
    </w:p>
    <w:p w:rsidR="00234C0D" w:rsidRDefault="00FC038D" w:rsidP="00234C0D">
      <w:pPr>
        <w:rPr>
          <w:rStyle w:val="Rfrenceintense"/>
          <w:sz w:val="24"/>
        </w:rPr>
      </w:pPr>
      <w:r>
        <w:rPr>
          <w:rFonts w:cs="Calibri"/>
          <w:noProof/>
        </w:rPr>
        <w:drawing>
          <wp:inline distT="0" distB="0" distL="0" distR="0" wp14:anchorId="7AD9831B" wp14:editId="058793E1">
            <wp:extent cx="5430982" cy="2606189"/>
            <wp:effectExtent l="0" t="0" r="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1795" cy="2625774"/>
                    </a:xfrm>
                    <a:prstGeom prst="rect">
                      <a:avLst/>
                    </a:prstGeom>
                    <a:noFill/>
                  </pic:spPr>
                </pic:pic>
              </a:graphicData>
            </a:graphic>
          </wp:inline>
        </w:drawing>
      </w:r>
      <w:r w:rsidR="00234C0D">
        <w:rPr>
          <w:rStyle w:val="Rfrenceintense"/>
          <w:sz w:val="24"/>
        </w:rPr>
        <w:br w:type="page"/>
      </w:r>
    </w:p>
    <w:p w:rsidR="00234C0D" w:rsidRPr="00B23057" w:rsidRDefault="00234C0D" w:rsidP="00234C0D">
      <w:pPr>
        <w:rPr>
          <w:rStyle w:val="Rfrenceintense"/>
          <w:sz w:val="24"/>
        </w:rPr>
      </w:pPr>
      <w:r>
        <w:rPr>
          <w:rStyle w:val="Rfrenceintense"/>
          <w:sz w:val="24"/>
        </w:rPr>
        <w:lastRenderedPageBreak/>
        <w:t>157 M€ investis sur le réseau de distribution entre 2018 - 2021</w:t>
      </w:r>
    </w:p>
    <w:p w:rsidR="00234C0D" w:rsidRDefault="00234C0D" w:rsidP="00234C0D">
      <w:pPr>
        <w:rPr>
          <w:rFonts w:ascii="Calibri" w:hAnsi="Calibri" w:cs="Calibri"/>
        </w:rPr>
      </w:pPr>
    </w:p>
    <w:p w:rsidR="00234C0D" w:rsidRDefault="00234C0D" w:rsidP="00234C0D">
      <w:pPr>
        <w:rPr>
          <w:rFonts w:ascii="Calibri" w:hAnsi="Calibri" w:cs="Calibri"/>
        </w:rPr>
      </w:pPr>
      <w:r w:rsidRPr="002B0C3C">
        <w:rPr>
          <w:rFonts w:ascii="Calibri" w:hAnsi="Calibri" w:cs="Calibri"/>
        </w:rPr>
        <w:t xml:space="preserve">Durant la conférence, le Président du SDE35, Didier NOUYOU a fait part de </w:t>
      </w:r>
      <w:r w:rsidRPr="002B0C3C">
        <w:rPr>
          <w:rFonts w:ascii="Calibri" w:hAnsi="Calibri" w:cs="Calibri"/>
          <w:bCs/>
          <w:iCs/>
        </w:rPr>
        <w:t>l’engagement des élus du Comité  à maintenir un montant d’investissement sur le réseau électrique de 22,4 M€ HT /an sur la période 2018 – 2021, soit près de 90 M€ HT sur 4 ans.</w:t>
      </w:r>
      <w:r w:rsidRPr="002B0C3C">
        <w:rPr>
          <w:rFonts w:ascii="Calibri" w:hAnsi="Calibri" w:cs="Calibri"/>
        </w:rPr>
        <w:t xml:space="preserve"> Ce niveau d’engagement doit permettre de poursuivre le travail de renouvellement des « fils nus » basse tension (230 V) et les opérations d’effacement dans les centre-villes et les centre-bourgs. </w:t>
      </w:r>
    </w:p>
    <w:p w:rsidR="00234C0D" w:rsidRPr="002B0C3C" w:rsidRDefault="00234C0D" w:rsidP="00234C0D">
      <w:pPr>
        <w:rPr>
          <w:rFonts w:ascii="Calibri" w:hAnsi="Calibri" w:cs="Calibri"/>
        </w:rPr>
      </w:pPr>
    </w:p>
    <w:p w:rsidR="00234C0D" w:rsidRDefault="00234C0D" w:rsidP="00234C0D">
      <w:pPr>
        <w:rPr>
          <w:rFonts w:ascii="Calibri" w:hAnsi="Calibri" w:cs="Calibri"/>
          <w:bCs/>
          <w:iCs/>
        </w:rPr>
      </w:pPr>
      <w:r w:rsidRPr="002B0C3C">
        <w:rPr>
          <w:rFonts w:ascii="Calibri" w:hAnsi="Calibri" w:cs="Calibri"/>
          <w:bCs/>
          <w:iCs/>
        </w:rPr>
        <w:t>Enedis a également présenté les niveaux d’investissement envisagés pour la période 2018 -2021. Ceux relatifs au renouvellement du réseau (climatique / environnement / modernisation / renforcement) représente un montant de 67 M€ sur 4 ans, soit un montant supérieur à la précédente programmation.</w:t>
      </w:r>
    </w:p>
    <w:p w:rsidR="00234C0D" w:rsidRPr="002B0C3C" w:rsidRDefault="00234C0D" w:rsidP="00234C0D">
      <w:pPr>
        <w:rPr>
          <w:rFonts w:ascii="Calibri" w:hAnsi="Calibri" w:cs="Calibri"/>
          <w:bCs/>
          <w:iCs/>
        </w:rPr>
      </w:pPr>
    </w:p>
    <w:p w:rsidR="00234C0D" w:rsidRPr="002B0C3C" w:rsidRDefault="00234C0D" w:rsidP="00234C0D">
      <w:pPr>
        <w:rPr>
          <w:rFonts w:ascii="Calibri" w:hAnsi="Calibri" w:cs="Calibri"/>
          <w:bCs/>
          <w:iCs/>
        </w:rPr>
      </w:pPr>
      <w:r w:rsidRPr="002B0C3C">
        <w:rPr>
          <w:rFonts w:ascii="Calibri" w:hAnsi="Calibri" w:cs="Calibri"/>
          <w:bCs/>
          <w:iCs/>
        </w:rPr>
        <w:t>Des échanges ont eu lieu et vont se poursuivre pour affiner la programmation et s’assurer que les investissements d’Enedis et du SDE 35 puissent répondre aux enjeux de modernisation du réseau, de service rendu aux différentes parties prenantes et de satisfaction de nos clients.</w:t>
      </w:r>
    </w:p>
    <w:p w:rsidR="00234C0D" w:rsidRPr="002B0C3C" w:rsidRDefault="00234C0D" w:rsidP="00234C0D">
      <w:pPr>
        <w:rPr>
          <w:rFonts w:ascii="Calibri" w:hAnsi="Calibri" w:cs="Calibri"/>
        </w:rPr>
      </w:pPr>
    </w:p>
    <w:p w:rsidR="00234C0D" w:rsidRDefault="00234C0D" w:rsidP="00234C0D">
      <w:pPr>
        <w:spacing w:after="200" w:line="276" w:lineRule="auto"/>
        <w:jc w:val="left"/>
        <w:rPr>
          <w:rFonts w:eastAsia="Times New Roman"/>
          <w:szCs w:val="22"/>
        </w:rPr>
      </w:pPr>
    </w:p>
    <w:p w:rsidR="006C5AA3" w:rsidRPr="006C5AA3" w:rsidRDefault="006C5AA3" w:rsidP="00627DCF">
      <w:pPr>
        <w:jc w:val="left"/>
        <w:rPr>
          <w:b/>
        </w:rPr>
      </w:pPr>
    </w:p>
    <w:sectPr w:rsidR="006C5AA3" w:rsidRPr="006C5AA3" w:rsidSect="004D57F2">
      <w:footerReference w:type="default" r:id="rId24"/>
      <w:pgSz w:w="11906" w:h="16838"/>
      <w:pgMar w:top="1361" w:right="1133" w:bottom="1361" w:left="993" w:header="709" w:footer="1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444" w:rsidRDefault="004A2444">
      <w:r>
        <w:separator/>
      </w:r>
    </w:p>
  </w:endnote>
  <w:endnote w:type="continuationSeparator" w:id="0">
    <w:p w:rsidR="004A2444" w:rsidRDefault="004A2444">
      <w:r>
        <w:continuationSeparator/>
      </w:r>
    </w:p>
  </w:endnote>
  <w:endnote w:type="continuationNotice" w:id="1">
    <w:p w:rsidR="004A2444" w:rsidRDefault="004A2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nacti Rg">
    <w:panose1 w:val="020B0506020000080004"/>
    <w:charset w:val="00"/>
    <w:family w:val="swiss"/>
    <w:notTrueType/>
    <w:pitch w:val="variable"/>
    <w:sig w:usb0="A00000EF" w:usb1="5000004B" w:usb2="00000000" w:usb3="00000000" w:csb0="00000183" w:csb1="00000000"/>
  </w:font>
  <w:font w:name="Tahoma">
    <w:panose1 w:val="020B0604030504040204"/>
    <w:charset w:val="00"/>
    <w:family w:val="swiss"/>
    <w:pitch w:val="variable"/>
    <w:sig w:usb0="E1002EFF" w:usb1="C000605B" w:usb2="00000029" w:usb3="00000000" w:csb0="000101FF" w:csb1="00000000"/>
  </w:font>
  <w:font w:name="Optima">
    <w:altName w:val="Courier New"/>
    <w:charset w:val="00"/>
    <w:family w:val="swiss"/>
    <w:pitch w:val="variable"/>
    <w:sig w:usb0="00000007" w:usb1="00000000" w:usb2="00000000" w:usb3="00000000" w:csb0="00000093" w:csb1="00000000"/>
  </w:font>
  <w:font w:name="Swis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nacti Sb">
    <w:panose1 w:val="020B0706020000080004"/>
    <w:charset w:val="00"/>
    <w:family w:val="swiss"/>
    <w:notTrueType/>
    <w:pitch w:val="variable"/>
    <w:sig w:usb0="A00000EF" w:usb1="5000004B" w:usb2="00000000" w:usb3="00000000" w:csb0="00000183" w:csb1="00000000"/>
  </w:font>
  <w:font w:name="Lucida Sans Unicode">
    <w:panose1 w:val="020B0602030504020204"/>
    <w:charset w:val="00"/>
    <w:family w:val="swiss"/>
    <w:pitch w:val="variable"/>
    <w:sig w:usb0="80000AFF" w:usb1="0000396B" w:usb2="00000000" w:usb3="00000000" w:csb0="000000BF" w:csb1="00000000"/>
  </w:font>
  <w:font w:name="N 1078">
    <w:altName w:val="N"/>
    <w:panose1 w:val="00000000000000000000"/>
    <w:charset w:val="00"/>
    <w:family w:val="auto"/>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A8B8D" w:themeColor="text2"/>
      </w:tblBorders>
      <w:tblCellMar>
        <w:top w:w="72" w:type="dxa"/>
        <w:left w:w="115" w:type="dxa"/>
        <w:bottom w:w="72" w:type="dxa"/>
        <w:right w:w="115" w:type="dxa"/>
      </w:tblCellMar>
      <w:tblLook w:val="04A0" w:firstRow="1" w:lastRow="0" w:firstColumn="1" w:lastColumn="0" w:noHBand="0" w:noVBand="1"/>
    </w:tblPr>
    <w:tblGrid>
      <w:gridCol w:w="9009"/>
      <w:gridCol w:w="1001"/>
    </w:tblGrid>
    <w:tr w:rsidR="004A2444" w:rsidRPr="004D57F2" w:rsidTr="004D57F2">
      <w:tc>
        <w:tcPr>
          <w:tcW w:w="4500" w:type="pct"/>
        </w:tcPr>
        <w:p w:rsidR="004A2444" w:rsidRPr="004D57F2" w:rsidRDefault="004A2444" w:rsidP="00C16746">
          <w:pPr>
            <w:rPr>
              <w:color w:val="8A8B8D" w:themeColor="text2"/>
              <w:sz w:val="20"/>
              <w:szCs w:val="20"/>
            </w:rPr>
          </w:pPr>
          <w:r w:rsidRPr="004D57F2">
            <w:rPr>
              <w:color w:val="8A8B8D" w:themeColor="text2"/>
              <w:sz w:val="20"/>
              <w:szCs w:val="20"/>
            </w:rPr>
            <w:t>Compte-rendu de la réunion du comité syndical du</w:t>
          </w:r>
          <w:r>
            <w:rPr>
              <w:color w:val="8A8B8D" w:themeColor="text2"/>
              <w:sz w:val="20"/>
              <w:szCs w:val="20"/>
            </w:rPr>
            <w:t xml:space="preserve"> 10 avril 2018</w:t>
          </w:r>
        </w:p>
      </w:tc>
      <w:tc>
        <w:tcPr>
          <w:tcW w:w="500" w:type="pct"/>
          <w:shd w:val="clear" w:color="auto" w:fill="auto"/>
        </w:tcPr>
        <w:p w:rsidR="004A2444" w:rsidRPr="004D57F2" w:rsidRDefault="004A2444" w:rsidP="004D57F2">
          <w:pPr>
            <w:jc w:val="right"/>
            <w:rPr>
              <w:color w:val="8A8B8D" w:themeColor="text2"/>
              <w:sz w:val="20"/>
              <w:szCs w:val="20"/>
            </w:rPr>
          </w:pPr>
          <w:r w:rsidRPr="004D57F2">
            <w:rPr>
              <w:color w:val="8A8B8D" w:themeColor="text2"/>
              <w:sz w:val="20"/>
              <w:szCs w:val="20"/>
            </w:rPr>
            <w:fldChar w:fldCharType="begin"/>
          </w:r>
          <w:r w:rsidRPr="004D57F2">
            <w:rPr>
              <w:color w:val="8A8B8D" w:themeColor="text2"/>
              <w:sz w:val="20"/>
              <w:szCs w:val="20"/>
            </w:rPr>
            <w:instrText>PAGE   \* MERGEFORMAT</w:instrText>
          </w:r>
          <w:r w:rsidRPr="004D57F2">
            <w:rPr>
              <w:color w:val="8A8B8D" w:themeColor="text2"/>
              <w:sz w:val="20"/>
              <w:szCs w:val="20"/>
            </w:rPr>
            <w:fldChar w:fldCharType="separate"/>
          </w:r>
          <w:r w:rsidR="00D85372">
            <w:rPr>
              <w:noProof/>
              <w:color w:val="8A8B8D" w:themeColor="text2"/>
              <w:sz w:val="20"/>
              <w:szCs w:val="20"/>
            </w:rPr>
            <w:t>25</w:t>
          </w:r>
          <w:r w:rsidRPr="004D57F2">
            <w:rPr>
              <w:color w:val="8A8B8D" w:themeColor="text2"/>
              <w:sz w:val="20"/>
              <w:szCs w:val="20"/>
            </w:rPr>
            <w:fldChar w:fldCharType="end"/>
          </w:r>
        </w:p>
      </w:tc>
    </w:tr>
  </w:tbl>
  <w:p w:rsidR="004A2444" w:rsidRPr="00DA5F3F" w:rsidRDefault="004A2444" w:rsidP="00DA5F3F">
    <w:pPr>
      <w:pStyle w:val="Pieddepage"/>
      <w:rPr>
        <w:lang w:val="fr-FR"/>
      </w:rPr>
    </w:pPr>
  </w:p>
  <w:p w:rsidR="004A2444" w:rsidRDefault="004A24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444" w:rsidRDefault="004A2444">
      <w:r>
        <w:separator/>
      </w:r>
    </w:p>
  </w:footnote>
  <w:footnote w:type="continuationSeparator" w:id="0">
    <w:p w:rsidR="004A2444" w:rsidRDefault="004A2444">
      <w:r>
        <w:continuationSeparator/>
      </w:r>
    </w:p>
  </w:footnote>
  <w:footnote w:type="continuationNotice" w:id="1">
    <w:p w:rsidR="004A2444" w:rsidRDefault="004A244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315"/>
    <w:multiLevelType w:val="hybridMultilevel"/>
    <w:tmpl w:val="083C58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72D4B6D"/>
    <w:multiLevelType w:val="hybridMultilevel"/>
    <w:tmpl w:val="BC34C26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73916F1"/>
    <w:multiLevelType w:val="hybridMultilevel"/>
    <w:tmpl w:val="8CD2DEB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B41E65"/>
    <w:multiLevelType w:val="hybridMultilevel"/>
    <w:tmpl w:val="7682E5C2"/>
    <w:lvl w:ilvl="0" w:tplc="2F54393C">
      <w:start w:val="1"/>
      <w:numFmt w:val="decimal"/>
      <w:pStyle w:val="Titrepoint"/>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2E15231"/>
    <w:multiLevelType w:val="hybridMultilevel"/>
    <w:tmpl w:val="C7ACA3EC"/>
    <w:lvl w:ilvl="0" w:tplc="337A3EE2">
      <w:start w:val="1"/>
      <w:numFmt w:val="bullet"/>
      <w:lvlText w:val="‒"/>
      <w:lvlJc w:val="left"/>
      <w:pPr>
        <w:ind w:left="720" w:hanging="360"/>
      </w:pPr>
      <w:rPr>
        <w:rFonts w:ascii="Calibri" w:hAnsi="Calibri" w:hint="default"/>
        <w:color w:val="676769" w:themeColor="text2" w:themeShade="BF"/>
        <w:sz w:val="20"/>
        <w:u w:color="676769" w:themeColor="tex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4E11DF"/>
    <w:multiLevelType w:val="hybridMultilevel"/>
    <w:tmpl w:val="9EB4F590"/>
    <w:lvl w:ilvl="0" w:tplc="2B1656A0">
      <w:start w:val="8"/>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34A31BAC"/>
    <w:multiLevelType w:val="hybridMultilevel"/>
    <w:tmpl w:val="95E851F0"/>
    <w:lvl w:ilvl="0" w:tplc="F258A6E2">
      <w:start w:val="1"/>
      <w:numFmt w:val="bullet"/>
      <w:pStyle w:val="Puceorange"/>
      <w:lvlText w:val="•"/>
      <w:lvlJc w:val="left"/>
      <w:pPr>
        <w:ind w:left="720" w:hanging="360"/>
      </w:pPr>
      <w:rPr>
        <w:rFonts w:ascii="Calibri" w:hAnsi="Calibri" w:cs="Calibri" w:hint="default"/>
        <w:b/>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A20F7E"/>
    <w:multiLevelType w:val="hybridMultilevel"/>
    <w:tmpl w:val="20C0B9CC"/>
    <w:lvl w:ilvl="0" w:tplc="F51A777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220C7F"/>
    <w:multiLevelType w:val="multilevel"/>
    <w:tmpl w:val="41548070"/>
    <w:styleLink w:val="WW8Num3"/>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9">
    <w:nsid w:val="48411C46"/>
    <w:multiLevelType w:val="hybridMultilevel"/>
    <w:tmpl w:val="E0DCD506"/>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868753E"/>
    <w:multiLevelType w:val="hybridMultilevel"/>
    <w:tmpl w:val="93743DC2"/>
    <w:lvl w:ilvl="0" w:tplc="937433E4">
      <w:start w:val="1"/>
      <w:numFmt w:val="bullet"/>
      <w:pStyle w:val="Pucecorpsdetexte"/>
      <w:lvlText w:val="•"/>
      <w:lvlJc w:val="left"/>
      <w:pPr>
        <w:ind w:left="720" w:hanging="360"/>
      </w:pPr>
      <w:rPr>
        <w:rFonts w:ascii="Calibri" w:hAnsi="Calibri" w:cs="Calibri" w:hint="default"/>
        <w:b/>
        <w:i w:val="0"/>
        <w:color w:val="A6A6A6"/>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DF7796"/>
    <w:multiLevelType w:val="hybridMultilevel"/>
    <w:tmpl w:val="085894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585E61A2"/>
    <w:multiLevelType w:val="hybridMultilevel"/>
    <w:tmpl w:val="A2C609A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A506B5C"/>
    <w:multiLevelType w:val="hybridMultilevel"/>
    <w:tmpl w:val="809EA00E"/>
    <w:lvl w:ilvl="0" w:tplc="F09663C2">
      <w:start w:val="2"/>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4">
    <w:nsid w:val="5BB85F98"/>
    <w:multiLevelType w:val="multilevel"/>
    <w:tmpl w:val="0B2A8B4E"/>
    <w:styleLink w:val="WW8Num2"/>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15">
    <w:nsid w:val="64D92B79"/>
    <w:multiLevelType w:val="hybridMultilevel"/>
    <w:tmpl w:val="E2241CB6"/>
    <w:lvl w:ilvl="0" w:tplc="899242FA">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68C934AC"/>
    <w:multiLevelType w:val="hybridMultilevel"/>
    <w:tmpl w:val="EC203362"/>
    <w:lvl w:ilvl="0" w:tplc="A80EA02A">
      <w:start w:val="1"/>
      <w:numFmt w:val="decimal"/>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7">
    <w:nsid w:val="6F51445F"/>
    <w:multiLevelType w:val="hybridMultilevel"/>
    <w:tmpl w:val="BFC6A9E8"/>
    <w:lvl w:ilvl="0" w:tplc="263078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0750955"/>
    <w:multiLevelType w:val="hybridMultilevel"/>
    <w:tmpl w:val="6D0CE31E"/>
    <w:lvl w:ilvl="0" w:tplc="337A3EE2">
      <w:start w:val="1"/>
      <w:numFmt w:val="bullet"/>
      <w:lvlText w:val="‒"/>
      <w:lvlJc w:val="left"/>
      <w:pPr>
        <w:ind w:left="720" w:hanging="360"/>
      </w:pPr>
      <w:rPr>
        <w:rFonts w:ascii="Calibri" w:hAnsi="Calibri" w:hint="default"/>
        <w:color w:val="676769" w:themeColor="text2" w:themeShade="BF"/>
        <w:sz w:val="20"/>
        <w:u w:color="676769" w:themeColor="tex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2270894"/>
    <w:multiLevelType w:val="hybridMultilevel"/>
    <w:tmpl w:val="7C4C0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CD742D"/>
    <w:multiLevelType w:val="multilevel"/>
    <w:tmpl w:val="4554F2F8"/>
    <w:styleLink w:val="WW8Num1"/>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21">
    <w:nsid w:val="77856CB1"/>
    <w:multiLevelType w:val="hybridMultilevel"/>
    <w:tmpl w:val="392E1828"/>
    <w:lvl w:ilvl="0" w:tplc="7004A4A6">
      <w:start w:val="1"/>
      <w:numFmt w:val="bullet"/>
      <w:lvlText w:val="ü"/>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701C3C"/>
    <w:multiLevelType w:val="hybridMultilevel"/>
    <w:tmpl w:val="39FC03E8"/>
    <w:lvl w:ilvl="0" w:tplc="B70AA8CE">
      <w:start w:val="1"/>
      <w:numFmt w:val="bullet"/>
      <w:pStyle w:val="Puce1"/>
      <w:lvlText w:val="-"/>
      <w:lvlJc w:val="left"/>
      <w:pPr>
        <w:ind w:left="720" w:hanging="360"/>
      </w:pPr>
      <w:rPr>
        <w:rFonts w:ascii="Courier New" w:hAnsi="Courier New" w:cs="Times New Roman" w:hint="default"/>
        <w:color w:val="8A8B8D" w:themeColor="text2"/>
      </w:rPr>
    </w:lvl>
    <w:lvl w:ilvl="1" w:tplc="2A209444">
      <w:start w:val="1"/>
      <w:numFmt w:val="bullet"/>
      <w:lvlText w:val=""/>
      <w:lvlJc w:val="left"/>
      <w:pPr>
        <w:ind w:left="1440" w:hanging="360"/>
      </w:pPr>
      <w:rPr>
        <w:rFonts w:ascii="Symbol" w:hAnsi="Symbol" w:hint="default"/>
        <w:color w:val="8A8B8D" w:themeColor="text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7FB64758"/>
    <w:multiLevelType w:val="hybridMultilevel"/>
    <w:tmpl w:val="D71E20A8"/>
    <w:lvl w:ilvl="0" w:tplc="7AB63014">
      <w:start w:val="9"/>
      <w:numFmt w:val="decimal"/>
      <w:lvlText w:val="%1-"/>
      <w:lvlJc w:val="left"/>
      <w:pPr>
        <w:ind w:left="502"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1668" w:hanging="180"/>
      </w:pPr>
    </w:lvl>
    <w:lvl w:ilvl="3" w:tplc="040C000F" w:tentative="1">
      <w:start w:val="1"/>
      <w:numFmt w:val="decimal"/>
      <w:lvlText w:val="%4."/>
      <w:lvlJc w:val="left"/>
      <w:pPr>
        <w:ind w:left="-948" w:hanging="360"/>
      </w:pPr>
    </w:lvl>
    <w:lvl w:ilvl="4" w:tplc="040C0019" w:tentative="1">
      <w:start w:val="1"/>
      <w:numFmt w:val="lowerLetter"/>
      <w:lvlText w:val="%5."/>
      <w:lvlJc w:val="left"/>
      <w:pPr>
        <w:ind w:left="-228" w:hanging="360"/>
      </w:pPr>
    </w:lvl>
    <w:lvl w:ilvl="5" w:tplc="040C001B" w:tentative="1">
      <w:start w:val="1"/>
      <w:numFmt w:val="lowerRoman"/>
      <w:lvlText w:val="%6."/>
      <w:lvlJc w:val="right"/>
      <w:pPr>
        <w:ind w:left="492" w:hanging="180"/>
      </w:pPr>
    </w:lvl>
    <w:lvl w:ilvl="6" w:tplc="040C000F" w:tentative="1">
      <w:start w:val="1"/>
      <w:numFmt w:val="decimal"/>
      <w:lvlText w:val="%7."/>
      <w:lvlJc w:val="left"/>
      <w:pPr>
        <w:ind w:left="1212" w:hanging="360"/>
      </w:pPr>
    </w:lvl>
    <w:lvl w:ilvl="7" w:tplc="040C0019" w:tentative="1">
      <w:start w:val="1"/>
      <w:numFmt w:val="lowerLetter"/>
      <w:lvlText w:val="%8."/>
      <w:lvlJc w:val="left"/>
      <w:pPr>
        <w:ind w:left="1932" w:hanging="360"/>
      </w:pPr>
    </w:lvl>
    <w:lvl w:ilvl="8" w:tplc="040C001B" w:tentative="1">
      <w:start w:val="1"/>
      <w:numFmt w:val="lowerRoman"/>
      <w:lvlText w:val="%9."/>
      <w:lvlJc w:val="right"/>
      <w:pPr>
        <w:ind w:left="2652" w:hanging="180"/>
      </w:pPr>
    </w:lvl>
  </w:abstractNum>
  <w:num w:numId="1">
    <w:abstractNumId w:val="6"/>
  </w:num>
  <w:num w:numId="2">
    <w:abstractNumId w:val="3"/>
  </w:num>
  <w:num w:numId="3">
    <w:abstractNumId w:val="22"/>
  </w:num>
  <w:num w:numId="4">
    <w:abstractNumId w:val="10"/>
  </w:num>
  <w:num w:numId="5">
    <w:abstractNumId w:val="14"/>
  </w:num>
  <w:num w:numId="6">
    <w:abstractNumId w:val="8"/>
  </w:num>
  <w:num w:numId="7">
    <w:abstractNumId w:val="20"/>
  </w:num>
  <w:num w:numId="8">
    <w:abstractNumId w:val="13"/>
  </w:num>
  <w:num w:numId="9">
    <w:abstractNumId w:val="16"/>
  </w:num>
  <w:num w:numId="10">
    <w:abstractNumId w:val="23"/>
  </w:num>
  <w:num w:numId="11">
    <w:abstractNumId w:val="2"/>
  </w:num>
  <w:num w:numId="12">
    <w:abstractNumId w:val="15"/>
  </w:num>
  <w:num w:numId="13">
    <w:abstractNumId w:val="5"/>
  </w:num>
  <w:num w:numId="14">
    <w:abstractNumId w:val="17"/>
  </w:num>
  <w:num w:numId="15">
    <w:abstractNumId w:val="19"/>
  </w:num>
  <w:num w:numId="16">
    <w:abstractNumId w:val="7"/>
  </w:num>
  <w:num w:numId="17">
    <w:abstractNumId w:val="9"/>
  </w:num>
  <w:num w:numId="18">
    <w:abstractNumId w:val="4"/>
  </w:num>
  <w:num w:numId="19">
    <w:abstractNumId w:val="12"/>
  </w:num>
  <w:num w:numId="20">
    <w:abstractNumId w:val="0"/>
  </w:num>
  <w:num w:numId="21">
    <w:abstractNumId w:val="11"/>
  </w:num>
  <w:num w:numId="22">
    <w:abstractNumId w:val="1"/>
  </w:num>
  <w:num w:numId="23">
    <w:abstractNumId w:val="18"/>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41"/>
    <w:rsid w:val="00002BBD"/>
    <w:rsid w:val="000058EA"/>
    <w:rsid w:val="00005C8A"/>
    <w:rsid w:val="00013401"/>
    <w:rsid w:val="00015181"/>
    <w:rsid w:val="000229E6"/>
    <w:rsid w:val="0002481F"/>
    <w:rsid w:val="00030439"/>
    <w:rsid w:val="000351C6"/>
    <w:rsid w:val="000362EE"/>
    <w:rsid w:val="00043B59"/>
    <w:rsid w:val="00046295"/>
    <w:rsid w:val="00047041"/>
    <w:rsid w:val="00047A8F"/>
    <w:rsid w:val="00047CD6"/>
    <w:rsid w:val="00047E2D"/>
    <w:rsid w:val="000610B9"/>
    <w:rsid w:val="000678C5"/>
    <w:rsid w:val="000703D1"/>
    <w:rsid w:val="00076B7E"/>
    <w:rsid w:val="00081483"/>
    <w:rsid w:val="000835C4"/>
    <w:rsid w:val="000A03D6"/>
    <w:rsid w:val="000A1A1D"/>
    <w:rsid w:val="000A2E07"/>
    <w:rsid w:val="000A4220"/>
    <w:rsid w:val="000A453E"/>
    <w:rsid w:val="000A6171"/>
    <w:rsid w:val="000A62D5"/>
    <w:rsid w:val="000B57DA"/>
    <w:rsid w:val="000C11D6"/>
    <w:rsid w:val="000C1391"/>
    <w:rsid w:val="000C1985"/>
    <w:rsid w:val="000C2669"/>
    <w:rsid w:val="000C3458"/>
    <w:rsid w:val="000C71F5"/>
    <w:rsid w:val="000D0DBB"/>
    <w:rsid w:val="000D49E8"/>
    <w:rsid w:val="000D546F"/>
    <w:rsid w:val="000D5F2B"/>
    <w:rsid w:val="000D72ED"/>
    <w:rsid w:val="000E31CE"/>
    <w:rsid w:val="000E5497"/>
    <w:rsid w:val="000E5806"/>
    <w:rsid w:val="000E58F4"/>
    <w:rsid w:val="000F4892"/>
    <w:rsid w:val="000F5827"/>
    <w:rsid w:val="000F648E"/>
    <w:rsid w:val="000F7DC9"/>
    <w:rsid w:val="00101D41"/>
    <w:rsid w:val="00102B7F"/>
    <w:rsid w:val="00104F76"/>
    <w:rsid w:val="00106AA4"/>
    <w:rsid w:val="00110B54"/>
    <w:rsid w:val="001120D3"/>
    <w:rsid w:val="0012169A"/>
    <w:rsid w:val="00124209"/>
    <w:rsid w:val="00125817"/>
    <w:rsid w:val="00125E44"/>
    <w:rsid w:val="00130F35"/>
    <w:rsid w:val="00131E18"/>
    <w:rsid w:val="00131FB8"/>
    <w:rsid w:val="001323E4"/>
    <w:rsid w:val="00134B43"/>
    <w:rsid w:val="0013710C"/>
    <w:rsid w:val="00141C48"/>
    <w:rsid w:val="00144CC3"/>
    <w:rsid w:val="001452C0"/>
    <w:rsid w:val="00145813"/>
    <w:rsid w:val="001471FE"/>
    <w:rsid w:val="00147F8A"/>
    <w:rsid w:val="00157A22"/>
    <w:rsid w:val="0016070B"/>
    <w:rsid w:val="00160B49"/>
    <w:rsid w:val="001612A0"/>
    <w:rsid w:val="00165DF9"/>
    <w:rsid w:val="00167CF7"/>
    <w:rsid w:val="00173070"/>
    <w:rsid w:val="00173DC8"/>
    <w:rsid w:val="001759E0"/>
    <w:rsid w:val="0018087A"/>
    <w:rsid w:val="00180D09"/>
    <w:rsid w:val="0018305E"/>
    <w:rsid w:val="0018593B"/>
    <w:rsid w:val="0018632B"/>
    <w:rsid w:val="0018665E"/>
    <w:rsid w:val="00187B0A"/>
    <w:rsid w:val="00192FB6"/>
    <w:rsid w:val="001A0EC0"/>
    <w:rsid w:val="001A1232"/>
    <w:rsid w:val="001A3E79"/>
    <w:rsid w:val="001B06A3"/>
    <w:rsid w:val="001B1CE2"/>
    <w:rsid w:val="001B3C7E"/>
    <w:rsid w:val="001B4C3D"/>
    <w:rsid w:val="001B68B1"/>
    <w:rsid w:val="001B7D50"/>
    <w:rsid w:val="001C0B2D"/>
    <w:rsid w:val="001C1A7B"/>
    <w:rsid w:val="001C67CC"/>
    <w:rsid w:val="001D0B5C"/>
    <w:rsid w:val="001D1CDD"/>
    <w:rsid w:val="001D2B9D"/>
    <w:rsid w:val="001D2C63"/>
    <w:rsid w:val="001D680C"/>
    <w:rsid w:val="001E1E28"/>
    <w:rsid w:val="001E3061"/>
    <w:rsid w:val="001E5FB8"/>
    <w:rsid w:val="001F0C76"/>
    <w:rsid w:val="001F1259"/>
    <w:rsid w:val="001F2FA8"/>
    <w:rsid w:val="001F4AA8"/>
    <w:rsid w:val="001F55A6"/>
    <w:rsid w:val="001F6A19"/>
    <w:rsid w:val="002004A2"/>
    <w:rsid w:val="00200868"/>
    <w:rsid w:val="00200DD8"/>
    <w:rsid w:val="00210AEB"/>
    <w:rsid w:val="00214735"/>
    <w:rsid w:val="00215E10"/>
    <w:rsid w:val="00221276"/>
    <w:rsid w:val="00225C46"/>
    <w:rsid w:val="002348D3"/>
    <w:rsid w:val="00234C0D"/>
    <w:rsid w:val="0023592A"/>
    <w:rsid w:val="00236AC1"/>
    <w:rsid w:val="0023772D"/>
    <w:rsid w:val="00237BE9"/>
    <w:rsid w:val="00240C3E"/>
    <w:rsid w:val="0024269F"/>
    <w:rsid w:val="0024453D"/>
    <w:rsid w:val="00250FAD"/>
    <w:rsid w:val="00252C1B"/>
    <w:rsid w:val="0025382F"/>
    <w:rsid w:val="00260575"/>
    <w:rsid w:val="00263F6F"/>
    <w:rsid w:val="00264929"/>
    <w:rsid w:val="00266250"/>
    <w:rsid w:val="00267BB1"/>
    <w:rsid w:val="002725F9"/>
    <w:rsid w:val="00274936"/>
    <w:rsid w:val="00275C2E"/>
    <w:rsid w:val="00276667"/>
    <w:rsid w:val="00276B9C"/>
    <w:rsid w:val="002824EF"/>
    <w:rsid w:val="002844AF"/>
    <w:rsid w:val="00285176"/>
    <w:rsid w:val="00285F3C"/>
    <w:rsid w:val="00286C8A"/>
    <w:rsid w:val="00290E00"/>
    <w:rsid w:val="00292811"/>
    <w:rsid w:val="002936F6"/>
    <w:rsid w:val="00293E78"/>
    <w:rsid w:val="00294AF3"/>
    <w:rsid w:val="002B0093"/>
    <w:rsid w:val="002B0FE9"/>
    <w:rsid w:val="002B5389"/>
    <w:rsid w:val="002B678C"/>
    <w:rsid w:val="002B67D4"/>
    <w:rsid w:val="002B7464"/>
    <w:rsid w:val="002C07EA"/>
    <w:rsid w:val="002C3807"/>
    <w:rsid w:val="002C3C1A"/>
    <w:rsid w:val="002C51B0"/>
    <w:rsid w:val="002C6040"/>
    <w:rsid w:val="002C6605"/>
    <w:rsid w:val="002D02F8"/>
    <w:rsid w:val="002D2150"/>
    <w:rsid w:val="002E0199"/>
    <w:rsid w:val="002E1B5C"/>
    <w:rsid w:val="002E2723"/>
    <w:rsid w:val="002F030F"/>
    <w:rsid w:val="002F435C"/>
    <w:rsid w:val="002F609E"/>
    <w:rsid w:val="002F6D79"/>
    <w:rsid w:val="0030115A"/>
    <w:rsid w:val="00303A3B"/>
    <w:rsid w:val="00304BC5"/>
    <w:rsid w:val="0030659B"/>
    <w:rsid w:val="00312795"/>
    <w:rsid w:val="00313717"/>
    <w:rsid w:val="00313C4B"/>
    <w:rsid w:val="0031475C"/>
    <w:rsid w:val="0032118C"/>
    <w:rsid w:val="00321DCE"/>
    <w:rsid w:val="003226B5"/>
    <w:rsid w:val="003226C3"/>
    <w:rsid w:val="00323B4F"/>
    <w:rsid w:val="003245E2"/>
    <w:rsid w:val="00325396"/>
    <w:rsid w:val="00325AC8"/>
    <w:rsid w:val="003334FE"/>
    <w:rsid w:val="00333C9F"/>
    <w:rsid w:val="00336015"/>
    <w:rsid w:val="00336BDD"/>
    <w:rsid w:val="00340089"/>
    <w:rsid w:val="00345E87"/>
    <w:rsid w:val="0035361E"/>
    <w:rsid w:val="00355A72"/>
    <w:rsid w:val="00360B93"/>
    <w:rsid w:val="0036238C"/>
    <w:rsid w:val="00363B88"/>
    <w:rsid w:val="00366248"/>
    <w:rsid w:val="00370721"/>
    <w:rsid w:val="00371260"/>
    <w:rsid w:val="00372B1F"/>
    <w:rsid w:val="00380356"/>
    <w:rsid w:val="0038232D"/>
    <w:rsid w:val="00385140"/>
    <w:rsid w:val="00386EC9"/>
    <w:rsid w:val="003873E2"/>
    <w:rsid w:val="003922F2"/>
    <w:rsid w:val="00393366"/>
    <w:rsid w:val="0039765D"/>
    <w:rsid w:val="003A2DD8"/>
    <w:rsid w:val="003A4D72"/>
    <w:rsid w:val="003A4ECF"/>
    <w:rsid w:val="003B06A9"/>
    <w:rsid w:val="003B14DF"/>
    <w:rsid w:val="003B1AF6"/>
    <w:rsid w:val="003B1E56"/>
    <w:rsid w:val="003B3BA8"/>
    <w:rsid w:val="003B4F42"/>
    <w:rsid w:val="003B5D72"/>
    <w:rsid w:val="003B757A"/>
    <w:rsid w:val="003C122F"/>
    <w:rsid w:val="003C72A4"/>
    <w:rsid w:val="003C7853"/>
    <w:rsid w:val="003D596F"/>
    <w:rsid w:val="003D6F0E"/>
    <w:rsid w:val="003D778F"/>
    <w:rsid w:val="003D7974"/>
    <w:rsid w:val="003E303E"/>
    <w:rsid w:val="003E41FC"/>
    <w:rsid w:val="003F0081"/>
    <w:rsid w:val="003F096A"/>
    <w:rsid w:val="003F1154"/>
    <w:rsid w:val="003F25D6"/>
    <w:rsid w:val="003F2E67"/>
    <w:rsid w:val="003F5FCD"/>
    <w:rsid w:val="00400CA5"/>
    <w:rsid w:val="0040158A"/>
    <w:rsid w:val="00402BF8"/>
    <w:rsid w:val="004046C7"/>
    <w:rsid w:val="0040518A"/>
    <w:rsid w:val="004068FB"/>
    <w:rsid w:val="00410E1E"/>
    <w:rsid w:val="00413F1B"/>
    <w:rsid w:val="00414174"/>
    <w:rsid w:val="00422AFC"/>
    <w:rsid w:val="00425DAE"/>
    <w:rsid w:val="00425F47"/>
    <w:rsid w:val="0042628E"/>
    <w:rsid w:val="00434794"/>
    <w:rsid w:val="004413E5"/>
    <w:rsid w:val="00441DF8"/>
    <w:rsid w:val="00441E03"/>
    <w:rsid w:val="00446003"/>
    <w:rsid w:val="00446939"/>
    <w:rsid w:val="00446BD5"/>
    <w:rsid w:val="00450DE1"/>
    <w:rsid w:val="00454E03"/>
    <w:rsid w:val="0045656B"/>
    <w:rsid w:val="00460599"/>
    <w:rsid w:val="00460687"/>
    <w:rsid w:val="00464645"/>
    <w:rsid w:val="004648C9"/>
    <w:rsid w:val="004672F4"/>
    <w:rsid w:val="00472A60"/>
    <w:rsid w:val="00472F87"/>
    <w:rsid w:val="00474A24"/>
    <w:rsid w:val="00476354"/>
    <w:rsid w:val="00483AA6"/>
    <w:rsid w:val="00485274"/>
    <w:rsid w:val="00490284"/>
    <w:rsid w:val="004906B5"/>
    <w:rsid w:val="00490D49"/>
    <w:rsid w:val="00492001"/>
    <w:rsid w:val="00492BDF"/>
    <w:rsid w:val="00495013"/>
    <w:rsid w:val="004A2444"/>
    <w:rsid w:val="004A5947"/>
    <w:rsid w:val="004B1EA1"/>
    <w:rsid w:val="004B6A80"/>
    <w:rsid w:val="004C016D"/>
    <w:rsid w:val="004C2242"/>
    <w:rsid w:val="004C4288"/>
    <w:rsid w:val="004D0A94"/>
    <w:rsid w:val="004D19D9"/>
    <w:rsid w:val="004D31E7"/>
    <w:rsid w:val="004D3F6F"/>
    <w:rsid w:val="004D4EEA"/>
    <w:rsid w:val="004D53CF"/>
    <w:rsid w:val="004D57F2"/>
    <w:rsid w:val="004D7979"/>
    <w:rsid w:val="004E1488"/>
    <w:rsid w:val="004E4530"/>
    <w:rsid w:val="004E56AC"/>
    <w:rsid w:val="004E5E83"/>
    <w:rsid w:val="004F014C"/>
    <w:rsid w:val="004F13CC"/>
    <w:rsid w:val="004F3506"/>
    <w:rsid w:val="004F680A"/>
    <w:rsid w:val="005008EE"/>
    <w:rsid w:val="00501416"/>
    <w:rsid w:val="00502C5A"/>
    <w:rsid w:val="0050394B"/>
    <w:rsid w:val="00503BAD"/>
    <w:rsid w:val="00507EF7"/>
    <w:rsid w:val="00510E2E"/>
    <w:rsid w:val="005116BB"/>
    <w:rsid w:val="00511DF0"/>
    <w:rsid w:val="0051317F"/>
    <w:rsid w:val="005135F4"/>
    <w:rsid w:val="00513660"/>
    <w:rsid w:val="00516381"/>
    <w:rsid w:val="00517830"/>
    <w:rsid w:val="00522820"/>
    <w:rsid w:val="00523CF0"/>
    <w:rsid w:val="00525839"/>
    <w:rsid w:val="00525BC0"/>
    <w:rsid w:val="00541F74"/>
    <w:rsid w:val="00542B3A"/>
    <w:rsid w:val="0055073E"/>
    <w:rsid w:val="00550993"/>
    <w:rsid w:val="005539FD"/>
    <w:rsid w:val="00557F2E"/>
    <w:rsid w:val="00564C06"/>
    <w:rsid w:val="00567633"/>
    <w:rsid w:val="00567D40"/>
    <w:rsid w:val="0057306D"/>
    <w:rsid w:val="00573DF6"/>
    <w:rsid w:val="005759E3"/>
    <w:rsid w:val="00576452"/>
    <w:rsid w:val="00580A14"/>
    <w:rsid w:val="005813F6"/>
    <w:rsid w:val="00592912"/>
    <w:rsid w:val="00595122"/>
    <w:rsid w:val="005A00AB"/>
    <w:rsid w:val="005A385E"/>
    <w:rsid w:val="005A53E5"/>
    <w:rsid w:val="005B684A"/>
    <w:rsid w:val="005B737B"/>
    <w:rsid w:val="005C3D66"/>
    <w:rsid w:val="005C5072"/>
    <w:rsid w:val="005C74AE"/>
    <w:rsid w:val="005C7872"/>
    <w:rsid w:val="005C7D75"/>
    <w:rsid w:val="005D1DC4"/>
    <w:rsid w:val="005D2119"/>
    <w:rsid w:val="005D23EB"/>
    <w:rsid w:val="005D6460"/>
    <w:rsid w:val="005E0428"/>
    <w:rsid w:val="005E1D51"/>
    <w:rsid w:val="005E4AE2"/>
    <w:rsid w:val="005E6EFE"/>
    <w:rsid w:val="00601601"/>
    <w:rsid w:val="00602BCA"/>
    <w:rsid w:val="00607220"/>
    <w:rsid w:val="006108F5"/>
    <w:rsid w:val="0061491F"/>
    <w:rsid w:val="00614A11"/>
    <w:rsid w:val="006159CB"/>
    <w:rsid w:val="00615C78"/>
    <w:rsid w:val="00617A95"/>
    <w:rsid w:val="0062355A"/>
    <w:rsid w:val="00625E28"/>
    <w:rsid w:val="00626BDC"/>
    <w:rsid w:val="0062709A"/>
    <w:rsid w:val="00627DCF"/>
    <w:rsid w:val="006360D6"/>
    <w:rsid w:val="006374D2"/>
    <w:rsid w:val="0063794B"/>
    <w:rsid w:val="0064011B"/>
    <w:rsid w:val="00643328"/>
    <w:rsid w:val="0064793D"/>
    <w:rsid w:val="00647A58"/>
    <w:rsid w:val="00651AB9"/>
    <w:rsid w:val="00651CBB"/>
    <w:rsid w:val="0066439F"/>
    <w:rsid w:val="006707D3"/>
    <w:rsid w:val="00672AC9"/>
    <w:rsid w:val="00680509"/>
    <w:rsid w:val="00682198"/>
    <w:rsid w:val="006821AC"/>
    <w:rsid w:val="0068291D"/>
    <w:rsid w:val="006831D3"/>
    <w:rsid w:val="00683B6E"/>
    <w:rsid w:val="00686DC4"/>
    <w:rsid w:val="00693437"/>
    <w:rsid w:val="006A04D0"/>
    <w:rsid w:val="006A0EE0"/>
    <w:rsid w:val="006A4A6E"/>
    <w:rsid w:val="006A586A"/>
    <w:rsid w:val="006A63E9"/>
    <w:rsid w:val="006A6625"/>
    <w:rsid w:val="006A67E3"/>
    <w:rsid w:val="006B03E1"/>
    <w:rsid w:val="006B0D6A"/>
    <w:rsid w:val="006B22CE"/>
    <w:rsid w:val="006B3693"/>
    <w:rsid w:val="006B51A5"/>
    <w:rsid w:val="006B5E09"/>
    <w:rsid w:val="006B71DD"/>
    <w:rsid w:val="006B7803"/>
    <w:rsid w:val="006C02D1"/>
    <w:rsid w:val="006C27A7"/>
    <w:rsid w:val="006C5113"/>
    <w:rsid w:val="006C5AA3"/>
    <w:rsid w:val="006C7DA4"/>
    <w:rsid w:val="006D384E"/>
    <w:rsid w:val="006D646A"/>
    <w:rsid w:val="006D6553"/>
    <w:rsid w:val="006D6986"/>
    <w:rsid w:val="006E1D5C"/>
    <w:rsid w:val="006E2E35"/>
    <w:rsid w:val="006E393B"/>
    <w:rsid w:val="006E3F21"/>
    <w:rsid w:val="006F00F7"/>
    <w:rsid w:val="006F0D45"/>
    <w:rsid w:val="006F3F0C"/>
    <w:rsid w:val="006F4526"/>
    <w:rsid w:val="006F5232"/>
    <w:rsid w:val="006F636E"/>
    <w:rsid w:val="006F7793"/>
    <w:rsid w:val="006F7B98"/>
    <w:rsid w:val="00704FEB"/>
    <w:rsid w:val="007124BB"/>
    <w:rsid w:val="00713C1A"/>
    <w:rsid w:val="00721F10"/>
    <w:rsid w:val="00724769"/>
    <w:rsid w:val="007254EB"/>
    <w:rsid w:val="00735B64"/>
    <w:rsid w:val="0074022D"/>
    <w:rsid w:val="00743EED"/>
    <w:rsid w:val="00746602"/>
    <w:rsid w:val="00750242"/>
    <w:rsid w:val="007578B9"/>
    <w:rsid w:val="00757B67"/>
    <w:rsid w:val="00760EC2"/>
    <w:rsid w:val="00763D25"/>
    <w:rsid w:val="007654D7"/>
    <w:rsid w:val="00773250"/>
    <w:rsid w:val="00777B63"/>
    <w:rsid w:val="007832F0"/>
    <w:rsid w:val="007837E1"/>
    <w:rsid w:val="0078433D"/>
    <w:rsid w:val="007A0394"/>
    <w:rsid w:val="007A0D69"/>
    <w:rsid w:val="007B6B43"/>
    <w:rsid w:val="007C1DCA"/>
    <w:rsid w:val="007C4D9B"/>
    <w:rsid w:val="007C4F10"/>
    <w:rsid w:val="007C7262"/>
    <w:rsid w:val="007D6B90"/>
    <w:rsid w:val="007E0BF2"/>
    <w:rsid w:val="007E2856"/>
    <w:rsid w:val="007E2999"/>
    <w:rsid w:val="007E35E4"/>
    <w:rsid w:val="007E4FDF"/>
    <w:rsid w:val="007E6010"/>
    <w:rsid w:val="007E6F6C"/>
    <w:rsid w:val="007F01C2"/>
    <w:rsid w:val="007F07EC"/>
    <w:rsid w:val="007F6E3B"/>
    <w:rsid w:val="0080016A"/>
    <w:rsid w:val="0080050E"/>
    <w:rsid w:val="0080573E"/>
    <w:rsid w:val="008110E5"/>
    <w:rsid w:val="00811B56"/>
    <w:rsid w:val="008150B0"/>
    <w:rsid w:val="00822620"/>
    <w:rsid w:val="00824BD7"/>
    <w:rsid w:val="0082507C"/>
    <w:rsid w:val="0082751C"/>
    <w:rsid w:val="00832A81"/>
    <w:rsid w:val="00833602"/>
    <w:rsid w:val="008354C9"/>
    <w:rsid w:val="00840FD2"/>
    <w:rsid w:val="0084241B"/>
    <w:rsid w:val="00844DBD"/>
    <w:rsid w:val="00852DBF"/>
    <w:rsid w:val="0085356E"/>
    <w:rsid w:val="00860FDD"/>
    <w:rsid w:val="008621D0"/>
    <w:rsid w:val="00864484"/>
    <w:rsid w:val="00874076"/>
    <w:rsid w:val="00892270"/>
    <w:rsid w:val="00892DA4"/>
    <w:rsid w:val="00896E2B"/>
    <w:rsid w:val="008A201F"/>
    <w:rsid w:val="008A4FF7"/>
    <w:rsid w:val="008A6A07"/>
    <w:rsid w:val="008B031C"/>
    <w:rsid w:val="008C181E"/>
    <w:rsid w:val="008C3C31"/>
    <w:rsid w:val="008C563B"/>
    <w:rsid w:val="008C6AF8"/>
    <w:rsid w:val="008C7669"/>
    <w:rsid w:val="008D24D4"/>
    <w:rsid w:val="008D6760"/>
    <w:rsid w:val="008D71F3"/>
    <w:rsid w:val="008E5250"/>
    <w:rsid w:val="008E6507"/>
    <w:rsid w:val="008E6590"/>
    <w:rsid w:val="008F2E9B"/>
    <w:rsid w:val="008F3411"/>
    <w:rsid w:val="008F354D"/>
    <w:rsid w:val="00902F0C"/>
    <w:rsid w:val="0090603E"/>
    <w:rsid w:val="00907EB6"/>
    <w:rsid w:val="00911B0E"/>
    <w:rsid w:val="0091242C"/>
    <w:rsid w:val="009124AD"/>
    <w:rsid w:val="00913D5D"/>
    <w:rsid w:val="00915141"/>
    <w:rsid w:val="00920A5C"/>
    <w:rsid w:val="009220C7"/>
    <w:rsid w:val="00923473"/>
    <w:rsid w:val="0092459B"/>
    <w:rsid w:val="00924B6D"/>
    <w:rsid w:val="009262A3"/>
    <w:rsid w:val="00926826"/>
    <w:rsid w:val="00931C28"/>
    <w:rsid w:val="00932B9F"/>
    <w:rsid w:val="0093770C"/>
    <w:rsid w:val="00937C04"/>
    <w:rsid w:val="009410A2"/>
    <w:rsid w:val="00942859"/>
    <w:rsid w:val="00952BDD"/>
    <w:rsid w:val="00953274"/>
    <w:rsid w:val="00960664"/>
    <w:rsid w:val="00964466"/>
    <w:rsid w:val="00971CD2"/>
    <w:rsid w:val="00972081"/>
    <w:rsid w:val="009722C3"/>
    <w:rsid w:val="009730BA"/>
    <w:rsid w:val="00985C73"/>
    <w:rsid w:val="00990B80"/>
    <w:rsid w:val="00990C75"/>
    <w:rsid w:val="00994CE3"/>
    <w:rsid w:val="0099525B"/>
    <w:rsid w:val="009A0DAE"/>
    <w:rsid w:val="009A2C07"/>
    <w:rsid w:val="009A7514"/>
    <w:rsid w:val="009B02B4"/>
    <w:rsid w:val="009B0378"/>
    <w:rsid w:val="009B13E0"/>
    <w:rsid w:val="009B4B3E"/>
    <w:rsid w:val="009C3C87"/>
    <w:rsid w:val="009C4118"/>
    <w:rsid w:val="009D034A"/>
    <w:rsid w:val="009D0A81"/>
    <w:rsid w:val="009D26CF"/>
    <w:rsid w:val="009D4072"/>
    <w:rsid w:val="009D52D0"/>
    <w:rsid w:val="009E00A4"/>
    <w:rsid w:val="009E1316"/>
    <w:rsid w:val="009E1AE8"/>
    <w:rsid w:val="009E405B"/>
    <w:rsid w:val="009E6881"/>
    <w:rsid w:val="009F05D7"/>
    <w:rsid w:val="009F4968"/>
    <w:rsid w:val="009F5DA7"/>
    <w:rsid w:val="009F6B35"/>
    <w:rsid w:val="009F718C"/>
    <w:rsid w:val="009F7367"/>
    <w:rsid w:val="009F7F83"/>
    <w:rsid w:val="00A0001B"/>
    <w:rsid w:val="00A00832"/>
    <w:rsid w:val="00A01760"/>
    <w:rsid w:val="00A02454"/>
    <w:rsid w:val="00A03B6D"/>
    <w:rsid w:val="00A04D96"/>
    <w:rsid w:val="00A055C0"/>
    <w:rsid w:val="00A05924"/>
    <w:rsid w:val="00A10CA0"/>
    <w:rsid w:val="00A10FB0"/>
    <w:rsid w:val="00A113CC"/>
    <w:rsid w:val="00A13667"/>
    <w:rsid w:val="00A164C1"/>
    <w:rsid w:val="00A1747B"/>
    <w:rsid w:val="00A206D6"/>
    <w:rsid w:val="00A25045"/>
    <w:rsid w:val="00A25CCF"/>
    <w:rsid w:val="00A26776"/>
    <w:rsid w:val="00A30DC2"/>
    <w:rsid w:val="00A3172E"/>
    <w:rsid w:val="00A31E7F"/>
    <w:rsid w:val="00A33759"/>
    <w:rsid w:val="00A37177"/>
    <w:rsid w:val="00A3735D"/>
    <w:rsid w:val="00A40EFD"/>
    <w:rsid w:val="00A42F36"/>
    <w:rsid w:val="00A44919"/>
    <w:rsid w:val="00A45B00"/>
    <w:rsid w:val="00A46227"/>
    <w:rsid w:val="00A50A8C"/>
    <w:rsid w:val="00A54DAB"/>
    <w:rsid w:val="00A602B7"/>
    <w:rsid w:val="00A644D9"/>
    <w:rsid w:val="00A6793F"/>
    <w:rsid w:val="00A70DB3"/>
    <w:rsid w:val="00A72A71"/>
    <w:rsid w:val="00A74A0D"/>
    <w:rsid w:val="00A75725"/>
    <w:rsid w:val="00A802D7"/>
    <w:rsid w:val="00A8189F"/>
    <w:rsid w:val="00A86871"/>
    <w:rsid w:val="00A87E70"/>
    <w:rsid w:val="00A91AD2"/>
    <w:rsid w:val="00A929C8"/>
    <w:rsid w:val="00A97E06"/>
    <w:rsid w:val="00AA197F"/>
    <w:rsid w:val="00AA1F4F"/>
    <w:rsid w:val="00AA5595"/>
    <w:rsid w:val="00AA5D00"/>
    <w:rsid w:val="00AA64FF"/>
    <w:rsid w:val="00AB70E2"/>
    <w:rsid w:val="00AC1E89"/>
    <w:rsid w:val="00AC51CA"/>
    <w:rsid w:val="00AC7402"/>
    <w:rsid w:val="00AD198A"/>
    <w:rsid w:val="00AD464C"/>
    <w:rsid w:val="00AF2758"/>
    <w:rsid w:val="00AF6234"/>
    <w:rsid w:val="00AF6A8C"/>
    <w:rsid w:val="00B00B72"/>
    <w:rsid w:val="00B0125E"/>
    <w:rsid w:val="00B06F8B"/>
    <w:rsid w:val="00B10DC8"/>
    <w:rsid w:val="00B14BB1"/>
    <w:rsid w:val="00B214BB"/>
    <w:rsid w:val="00B22FF2"/>
    <w:rsid w:val="00B2558D"/>
    <w:rsid w:val="00B260D1"/>
    <w:rsid w:val="00B35792"/>
    <w:rsid w:val="00B379B1"/>
    <w:rsid w:val="00B42F7B"/>
    <w:rsid w:val="00B460E1"/>
    <w:rsid w:val="00B5021F"/>
    <w:rsid w:val="00B522A3"/>
    <w:rsid w:val="00B555B4"/>
    <w:rsid w:val="00B60DC1"/>
    <w:rsid w:val="00B65D9F"/>
    <w:rsid w:val="00B661A5"/>
    <w:rsid w:val="00B66E8F"/>
    <w:rsid w:val="00B701E6"/>
    <w:rsid w:val="00B71B76"/>
    <w:rsid w:val="00B75C8B"/>
    <w:rsid w:val="00B81F83"/>
    <w:rsid w:val="00B82246"/>
    <w:rsid w:val="00B84F88"/>
    <w:rsid w:val="00B91C50"/>
    <w:rsid w:val="00B9209D"/>
    <w:rsid w:val="00B93EB1"/>
    <w:rsid w:val="00B94E59"/>
    <w:rsid w:val="00B95961"/>
    <w:rsid w:val="00BA162F"/>
    <w:rsid w:val="00BA22CB"/>
    <w:rsid w:val="00BB2387"/>
    <w:rsid w:val="00BB262B"/>
    <w:rsid w:val="00BB33BA"/>
    <w:rsid w:val="00BB4938"/>
    <w:rsid w:val="00BC1B48"/>
    <w:rsid w:val="00BD03C6"/>
    <w:rsid w:val="00BD156F"/>
    <w:rsid w:val="00BD1DED"/>
    <w:rsid w:val="00BD3586"/>
    <w:rsid w:val="00BD4B16"/>
    <w:rsid w:val="00BE026B"/>
    <w:rsid w:val="00BE2343"/>
    <w:rsid w:val="00BE2907"/>
    <w:rsid w:val="00BE3188"/>
    <w:rsid w:val="00BE6358"/>
    <w:rsid w:val="00BE6E98"/>
    <w:rsid w:val="00BF4662"/>
    <w:rsid w:val="00BF624E"/>
    <w:rsid w:val="00C012DB"/>
    <w:rsid w:val="00C02EA6"/>
    <w:rsid w:val="00C03AD4"/>
    <w:rsid w:val="00C052F2"/>
    <w:rsid w:val="00C0642D"/>
    <w:rsid w:val="00C06EFF"/>
    <w:rsid w:val="00C07B7F"/>
    <w:rsid w:val="00C14420"/>
    <w:rsid w:val="00C15123"/>
    <w:rsid w:val="00C16746"/>
    <w:rsid w:val="00C2732E"/>
    <w:rsid w:val="00C302E4"/>
    <w:rsid w:val="00C31A74"/>
    <w:rsid w:val="00C40A4C"/>
    <w:rsid w:val="00C46741"/>
    <w:rsid w:val="00C46798"/>
    <w:rsid w:val="00C47941"/>
    <w:rsid w:val="00C52645"/>
    <w:rsid w:val="00C52759"/>
    <w:rsid w:val="00C54DDE"/>
    <w:rsid w:val="00C57C60"/>
    <w:rsid w:val="00C60BAC"/>
    <w:rsid w:val="00C6353B"/>
    <w:rsid w:val="00C641C6"/>
    <w:rsid w:val="00C64A7F"/>
    <w:rsid w:val="00C67021"/>
    <w:rsid w:val="00C71A53"/>
    <w:rsid w:val="00C74E56"/>
    <w:rsid w:val="00C80804"/>
    <w:rsid w:val="00C82575"/>
    <w:rsid w:val="00C84503"/>
    <w:rsid w:val="00C867AC"/>
    <w:rsid w:val="00C9070F"/>
    <w:rsid w:val="00C932C5"/>
    <w:rsid w:val="00C97E0B"/>
    <w:rsid w:val="00CA08A5"/>
    <w:rsid w:val="00CA0CD5"/>
    <w:rsid w:val="00CA14CD"/>
    <w:rsid w:val="00CA195D"/>
    <w:rsid w:val="00CA2850"/>
    <w:rsid w:val="00CA48C0"/>
    <w:rsid w:val="00CA564A"/>
    <w:rsid w:val="00CA67FB"/>
    <w:rsid w:val="00CA74CD"/>
    <w:rsid w:val="00CB0BE1"/>
    <w:rsid w:val="00CB1600"/>
    <w:rsid w:val="00CC1E48"/>
    <w:rsid w:val="00CC47F7"/>
    <w:rsid w:val="00CC6183"/>
    <w:rsid w:val="00CD1170"/>
    <w:rsid w:val="00CD508A"/>
    <w:rsid w:val="00CD7055"/>
    <w:rsid w:val="00CD73E7"/>
    <w:rsid w:val="00CE3E5A"/>
    <w:rsid w:val="00CE4157"/>
    <w:rsid w:val="00CE480A"/>
    <w:rsid w:val="00CE504B"/>
    <w:rsid w:val="00CE7361"/>
    <w:rsid w:val="00CF09F9"/>
    <w:rsid w:val="00CF0D27"/>
    <w:rsid w:val="00CF2736"/>
    <w:rsid w:val="00CF3504"/>
    <w:rsid w:val="00CF766D"/>
    <w:rsid w:val="00D01D53"/>
    <w:rsid w:val="00D02440"/>
    <w:rsid w:val="00D05D8C"/>
    <w:rsid w:val="00D0611B"/>
    <w:rsid w:val="00D06C9D"/>
    <w:rsid w:val="00D13177"/>
    <w:rsid w:val="00D15B9C"/>
    <w:rsid w:val="00D15EC9"/>
    <w:rsid w:val="00D16C09"/>
    <w:rsid w:val="00D17251"/>
    <w:rsid w:val="00D2125C"/>
    <w:rsid w:val="00D222A7"/>
    <w:rsid w:val="00D26603"/>
    <w:rsid w:val="00D274F2"/>
    <w:rsid w:val="00D303F0"/>
    <w:rsid w:val="00D305B8"/>
    <w:rsid w:val="00D33F9C"/>
    <w:rsid w:val="00D35ADA"/>
    <w:rsid w:val="00D4311D"/>
    <w:rsid w:val="00D43DC0"/>
    <w:rsid w:val="00D47645"/>
    <w:rsid w:val="00D50FB5"/>
    <w:rsid w:val="00D641BE"/>
    <w:rsid w:val="00D64F44"/>
    <w:rsid w:val="00D665E7"/>
    <w:rsid w:val="00D72572"/>
    <w:rsid w:val="00D72ADC"/>
    <w:rsid w:val="00D80B8D"/>
    <w:rsid w:val="00D837F6"/>
    <w:rsid w:val="00D84794"/>
    <w:rsid w:val="00D84ED5"/>
    <w:rsid w:val="00D85372"/>
    <w:rsid w:val="00D874FD"/>
    <w:rsid w:val="00D87C3A"/>
    <w:rsid w:val="00D92112"/>
    <w:rsid w:val="00D9235E"/>
    <w:rsid w:val="00D9352D"/>
    <w:rsid w:val="00D96CCD"/>
    <w:rsid w:val="00DA0303"/>
    <w:rsid w:val="00DA0D4B"/>
    <w:rsid w:val="00DA5025"/>
    <w:rsid w:val="00DA5C90"/>
    <w:rsid w:val="00DA5F3F"/>
    <w:rsid w:val="00DB6D37"/>
    <w:rsid w:val="00DB6EC1"/>
    <w:rsid w:val="00DD2092"/>
    <w:rsid w:val="00DE134E"/>
    <w:rsid w:val="00DE707F"/>
    <w:rsid w:val="00DE7E5D"/>
    <w:rsid w:val="00DF5F73"/>
    <w:rsid w:val="00DF7220"/>
    <w:rsid w:val="00DF7E34"/>
    <w:rsid w:val="00E011BC"/>
    <w:rsid w:val="00E01EA4"/>
    <w:rsid w:val="00E01F88"/>
    <w:rsid w:val="00E03E56"/>
    <w:rsid w:val="00E07579"/>
    <w:rsid w:val="00E10BEB"/>
    <w:rsid w:val="00E159D2"/>
    <w:rsid w:val="00E243BB"/>
    <w:rsid w:val="00E252C6"/>
    <w:rsid w:val="00E2777D"/>
    <w:rsid w:val="00E27DDE"/>
    <w:rsid w:val="00E40118"/>
    <w:rsid w:val="00E40C7B"/>
    <w:rsid w:val="00E41621"/>
    <w:rsid w:val="00E431D5"/>
    <w:rsid w:val="00E43D15"/>
    <w:rsid w:val="00E44569"/>
    <w:rsid w:val="00E46A56"/>
    <w:rsid w:val="00E47726"/>
    <w:rsid w:val="00E509BF"/>
    <w:rsid w:val="00E563DB"/>
    <w:rsid w:val="00E56FBF"/>
    <w:rsid w:val="00E60893"/>
    <w:rsid w:val="00E62B8C"/>
    <w:rsid w:val="00E632CE"/>
    <w:rsid w:val="00E6487A"/>
    <w:rsid w:val="00E65891"/>
    <w:rsid w:val="00E66C65"/>
    <w:rsid w:val="00E713CA"/>
    <w:rsid w:val="00E72D71"/>
    <w:rsid w:val="00E72F6B"/>
    <w:rsid w:val="00E73D5D"/>
    <w:rsid w:val="00E74602"/>
    <w:rsid w:val="00E7614A"/>
    <w:rsid w:val="00E80626"/>
    <w:rsid w:val="00E80CF9"/>
    <w:rsid w:val="00E82999"/>
    <w:rsid w:val="00E83528"/>
    <w:rsid w:val="00E84ACC"/>
    <w:rsid w:val="00E84E06"/>
    <w:rsid w:val="00E85546"/>
    <w:rsid w:val="00E87D8D"/>
    <w:rsid w:val="00E93AFC"/>
    <w:rsid w:val="00E9564D"/>
    <w:rsid w:val="00E975A1"/>
    <w:rsid w:val="00E9786B"/>
    <w:rsid w:val="00EA7508"/>
    <w:rsid w:val="00EA77E8"/>
    <w:rsid w:val="00EB0C85"/>
    <w:rsid w:val="00EB266D"/>
    <w:rsid w:val="00ED0EC5"/>
    <w:rsid w:val="00ED59B2"/>
    <w:rsid w:val="00EE09C0"/>
    <w:rsid w:val="00EE24F5"/>
    <w:rsid w:val="00EE2CAE"/>
    <w:rsid w:val="00EE3185"/>
    <w:rsid w:val="00EE4132"/>
    <w:rsid w:val="00EE68F6"/>
    <w:rsid w:val="00EE7FB6"/>
    <w:rsid w:val="00EF27A5"/>
    <w:rsid w:val="00EF69FE"/>
    <w:rsid w:val="00EF7B8E"/>
    <w:rsid w:val="00F01BF0"/>
    <w:rsid w:val="00F03293"/>
    <w:rsid w:val="00F03485"/>
    <w:rsid w:val="00F03E0A"/>
    <w:rsid w:val="00F061B5"/>
    <w:rsid w:val="00F101F5"/>
    <w:rsid w:val="00F11C7C"/>
    <w:rsid w:val="00F12E1D"/>
    <w:rsid w:val="00F131CB"/>
    <w:rsid w:val="00F16831"/>
    <w:rsid w:val="00F1768C"/>
    <w:rsid w:val="00F2340D"/>
    <w:rsid w:val="00F2446E"/>
    <w:rsid w:val="00F2487A"/>
    <w:rsid w:val="00F323DC"/>
    <w:rsid w:val="00F346F3"/>
    <w:rsid w:val="00F44D56"/>
    <w:rsid w:val="00F457F2"/>
    <w:rsid w:val="00F46785"/>
    <w:rsid w:val="00F516C1"/>
    <w:rsid w:val="00F54DFE"/>
    <w:rsid w:val="00F56143"/>
    <w:rsid w:val="00F64DAD"/>
    <w:rsid w:val="00F6541B"/>
    <w:rsid w:val="00F67F5B"/>
    <w:rsid w:val="00F73648"/>
    <w:rsid w:val="00F805DB"/>
    <w:rsid w:val="00F80F68"/>
    <w:rsid w:val="00F82C0C"/>
    <w:rsid w:val="00F8505D"/>
    <w:rsid w:val="00F8642C"/>
    <w:rsid w:val="00F97E46"/>
    <w:rsid w:val="00FA2153"/>
    <w:rsid w:val="00FB27C6"/>
    <w:rsid w:val="00FB3089"/>
    <w:rsid w:val="00FB362F"/>
    <w:rsid w:val="00FC038D"/>
    <w:rsid w:val="00FC30BC"/>
    <w:rsid w:val="00FC731F"/>
    <w:rsid w:val="00FC7B3A"/>
    <w:rsid w:val="00FD18FB"/>
    <w:rsid w:val="00FD1A65"/>
    <w:rsid w:val="00FD1D7B"/>
    <w:rsid w:val="00FD4035"/>
    <w:rsid w:val="00FF2623"/>
    <w:rsid w:val="00FF30A8"/>
    <w:rsid w:val="00FF31DE"/>
    <w:rsid w:val="00FF6F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C0"/>
    <w:pPr>
      <w:spacing w:after="0" w:line="240" w:lineRule="auto"/>
      <w:jc w:val="both"/>
    </w:pPr>
    <w:rPr>
      <w:rFonts w:eastAsia="Calibri" w:cs="Times New Roman"/>
      <w:szCs w:val="24"/>
      <w:lang w:eastAsia="fr-FR"/>
    </w:rPr>
  </w:style>
  <w:style w:type="paragraph" w:styleId="Titre1">
    <w:name w:val="heading 1"/>
    <w:basedOn w:val="Normal"/>
    <w:link w:val="Titre1Car"/>
    <w:uiPriority w:val="1"/>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iPriority w:val="1"/>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2F435C"/>
    <w:rPr>
      <w:rFonts w:ascii="Calibri" w:eastAsia="Times New Roman" w:hAnsi="Calibri" w:cs="Times New Roman"/>
      <w:b/>
      <w:bCs/>
      <w:sz w:val="28"/>
      <w:szCs w:val="28"/>
      <w:lang w:val="x-none" w:eastAsia="x-none"/>
    </w:rPr>
  </w:style>
  <w:style w:type="table" w:styleId="Grilledutableau">
    <w:name w:val="Table Grid"/>
    <w:basedOn w:val="TableauNormal"/>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34"/>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uiPriority w:val="1"/>
    <w:qFormat/>
    <w:rsid w:val="00E82999"/>
    <w:rPr>
      <w:rFonts w:ascii="Optima" w:eastAsia="Times New Roman" w:hAnsi="Optima"/>
    </w:rPr>
  </w:style>
  <w:style w:type="character" w:customStyle="1" w:styleId="CorpsdetexteCar">
    <w:name w:val="Corps de texte Car"/>
    <w:basedOn w:val="Policepardfaut"/>
    <w:link w:val="Corpsdetexte"/>
    <w:uiPriority w:val="1"/>
    <w:rsid w:val="00E82999"/>
    <w:rPr>
      <w:rFonts w:ascii="Optima" w:eastAsia="Times New Roman" w:hAnsi="Optima" w:cs="Times New Roman"/>
      <w:szCs w:val="24"/>
      <w:lang w:eastAsia="fr-FR"/>
    </w:rPr>
  </w:style>
  <w:style w:type="paragraph" w:styleId="En-tte">
    <w:name w:val="header"/>
    <w:basedOn w:val="Normal"/>
    <w:link w:val="En-tteCar"/>
    <w:unhideWhenUsed/>
    <w:rsid w:val="00EB0C85"/>
    <w:pPr>
      <w:tabs>
        <w:tab w:val="center" w:pos="4536"/>
        <w:tab w:val="right" w:pos="9072"/>
      </w:tabs>
    </w:pPr>
  </w:style>
  <w:style w:type="character" w:customStyle="1" w:styleId="En-tteCar">
    <w:name w:val="En-tête Car"/>
    <w:basedOn w:val="Policepardfaut"/>
    <w:link w:val="En-tte"/>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uiPriority w:val="1"/>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uiPriority w:val="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rsid w:val="00672AC9"/>
    <w:rPr>
      <w:rFonts w:ascii="Cambria" w:eastAsia="Times New Roman" w:hAnsi="Cambria" w:cs="Times New Roman"/>
      <w:sz w:val="24"/>
      <w:szCs w:val="24"/>
      <w:lang w:val="x-none" w:eastAsia="x-none"/>
    </w:rPr>
  </w:style>
  <w:style w:type="paragraph" w:styleId="Lgende">
    <w:name w:val="caption"/>
    <w:basedOn w:val="Normal"/>
    <w:next w:val="Normal"/>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BC0"/>
    <w:pPr>
      <w:spacing w:after="0" w:line="240" w:lineRule="auto"/>
      <w:jc w:val="both"/>
    </w:pPr>
    <w:rPr>
      <w:rFonts w:eastAsia="Calibri" w:cs="Times New Roman"/>
      <w:szCs w:val="24"/>
      <w:lang w:eastAsia="fr-FR"/>
    </w:rPr>
  </w:style>
  <w:style w:type="paragraph" w:styleId="Titre1">
    <w:name w:val="heading 1"/>
    <w:basedOn w:val="Normal"/>
    <w:link w:val="Titre1Car"/>
    <w:uiPriority w:val="1"/>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iPriority w:val="1"/>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2F435C"/>
    <w:rPr>
      <w:rFonts w:ascii="Calibri" w:eastAsia="Times New Roman" w:hAnsi="Calibri" w:cs="Times New Roman"/>
      <w:b/>
      <w:bCs/>
      <w:sz w:val="28"/>
      <w:szCs w:val="28"/>
      <w:lang w:val="x-none" w:eastAsia="x-none"/>
    </w:rPr>
  </w:style>
  <w:style w:type="table" w:styleId="Grilledutableau">
    <w:name w:val="Table Grid"/>
    <w:basedOn w:val="TableauNormal"/>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34"/>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uiPriority w:val="1"/>
    <w:qFormat/>
    <w:rsid w:val="00E82999"/>
    <w:rPr>
      <w:rFonts w:ascii="Optima" w:eastAsia="Times New Roman" w:hAnsi="Optima"/>
    </w:rPr>
  </w:style>
  <w:style w:type="character" w:customStyle="1" w:styleId="CorpsdetexteCar">
    <w:name w:val="Corps de texte Car"/>
    <w:basedOn w:val="Policepardfaut"/>
    <w:link w:val="Corpsdetexte"/>
    <w:uiPriority w:val="1"/>
    <w:rsid w:val="00E82999"/>
    <w:rPr>
      <w:rFonts w:ascii="Optima" w:eastAsia="Times New Roman" w:hAnsi="Optima" w:cs="Times New Roman"/>
      <w:szCs w:val="24"/>
      <w:lang w:eastAsia="fr-FR"/>
    </w:rPr>
  </w:style>
  <w:style w:type="paragraph" w:styleId="En-tte">
    <w:name w:val="header"/>
    <w:basedOn w:val="Normal"/>
    <w:link w:val="En-tteCar"/>
    <w:unhideWhenUsed/>
    <w:rsid w:val="00EB0C85"/>
    <w:pPr>
      <w:tabs>
        <w:tab w:val="center" w:pos="4536"/>
        <w:tab w:val="right" w:pos="9072"/>
      </w:tabs>
    </w:pPr>
  </w:style>
  <w:style w:type="character" w:customStyle="1" w:styleId="En-tteCar">
    <w:name w:val="En-tête Car"/>
    <w:basedOn w:val="Policepardfaut"/>
    <w:link w:val="En-tte"/>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uiPriority w:val="1"/>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uiPriority w:val="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rsid w:val="00672AC9"/>
    <w:rPr>
      <w:rFonts w:ascii="Cambria" w:eastAsia="Times New Roman" w:hAnsi="Cambria" w:cs="Times New Roman"/>
      <w:sz w:val="24"/>
      <w:szCs w:val="24"/>
      <w:lang w:val="x-none" w:eastAsia="x-none"/>
    </w:rPr>
  </w:style>
  <w:style w:type="paragraph" w:styleId="Lgende">
    <w:name w:val="caption"/>
    <w:basedOn w:val="Normal"/>
    <w:next w:val="Normal"/>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72">
      <w:bodyDiv w:val="1"/>
      <w:marLeft w:val="0"/>
      <w:marRight w:val="0"/>
      <w:marTop w:val="0"/>
      <w:marBottom w:val="0"/>
      <w:divBdr>
        <w:top w:val="none" w:sz="0" w:space="0" w:color="auto"/>
        <w:left w:val="none" w:sz="0" w:space="0" w:color="auto"/>
        <w:bottom w:val="none" w:sz="0" w:space="0" w:color="auto"/>
        <w:right w:val="none" w:sz="0" w:space="0" w:color="auto"/>
      </w:divBdr>
    </w:div>
    <w:div w:id="15472555">
      <w:bodyDiv w:val="1"/>
      <w:marLeft w:val="0"/>
      <w:marRight w:val="0"/>
      <w:marTop w:val="0"/>
      <w:marBottom w:val="0"/>
      <w:divBdr>
        <w:top w:val="none" w:sz="0" w:space="0" w:color="auto"/>
        <w:left w:val="none" w:sz="0" w:space="0" w:color="auto"/>
        <w:bottom w:val="none" w:sz="0" w:space="0" w:color="auto"/>
        <w:right w:val="none" w:sz="0" w:space="0" w:color="auto"/>
      </w:divBdr>
    </w:div>
    <w:div w:id="57899205">
      <w:bodyDiv w:val="1"/>
      <w:marLeft w:val="0"/>
      <w:marRight w:val="0"/>
      <w:marTop w:val="0"/>
      <w:marBottom w:val="0"/>
      <w:divBdr>
        <w:top w:val="none" w:sz="0" w:space="0" w:color="auto"/>
        <w:left w:val="none" w:sz="0" w:space="0" w:color="auto"/>
        <w:bottom w:val="none" w:sz="0" w:space="0" w:color="auto"/>
        <w:right w:val="none" w:sz="0" w:space="0" w:color="auto"/>
      </w:divBdr>
    </w:div>
    <w:div w:id="78214136">
      <w:bodyDiv w:val="1"/>
      <w:marLeft w:val="0"/>
      <w:marRight w:val="0"/>
      <w:marTop w:val="0"/>
      <w:marBottom w:val="0"/>
      <w:divBdr>
        <w:top w:val="none" w:sz="0" w:space="0" w:color="auto"/>
        <w:left w:val="none" w:sz="0" w:space="0" w:color="auto"/>
        <w:bottom w:val="none" w:sz="0" w:space="0" w:color="auto"/>
        <w:right w:val="none" w:sz="0" w:space="0" w:color="auto"/>
      </w:divBdr>
    </w:div>
    <w:div w:id="85734767">
      <w:bodyDiv w:val="1"/>
      <w:marLeft w:val="0"/>
      <w:marRight w:val="0"/>
      <w:marTop w:val="0"/>
      <w:marBottom w:val="0"/>
      <w:divBdr>
        <w:top w:val="none" w:sz="0" w:space="0" w:color="auto"/>
        <w:left w:val="none" w:sz="0" w:space="0" w:color="auto"/>
        <w:bottom w:val="none" w:sz="0" w:space="0" w:color="auto"/>
        <w:right w:val="none" w:sz="0" w:space="0" w:color="auto"/>
      </w:divBdr>
    </w:div>
    <w:div w:id="152112493">
      <w:bodyDiv w:val="1"/>
      <w:marLeft w:val="0"/>
      <w:marRight w:val="0"/>
      <w:marTop w:val="0"/>
      <w:marBottom w:val="0"/>
      <w:divBdr>
        <w:top w:val="none" w:sz="0" w:space="0" w:color="auto"/>
        <w:left w:val="none" w:sz="0" w:space="0" w:color="auto"/>
        <w:bottom w:val="none" w:sz="0" w:space="0" w:color="auto"/>
        <w:right w:val="none" w:sz="0" w:space="0" w:color="auto"/>
      </w:divBdr>
    </w:div>
    <w:div w:id="178281264">
      <w:bodyDiv w:val="1"/>
      <w:marLeft w:val="0"/>
      <w:marRight w:val="0"/>
      <w:marTop w:val="0"/>
      <w:marBottom w:val="0"/>
      <w:divBdr>
        <w:top w:val="none" w:sz="0" w:space="0" w:color="auto"/>
        <w:left w:val="none" w:sz="0" w:space="0" w:color="auto"/>
        <w:bottom w:val="none" w:sz="0" w:space="0" w:color="auto"/>
        <w:right w:val="none" w:sz="0" w:space="0" w:color="auto"/>
      </w:divBdr>
    </w:div>
    <w:div w:id="278344043">
      <w:bodyDiv w:val="1"/>
      <w:marLeft w:val="0"/>
      <w:marRight w:val="0"/>
      <w:marTop w:val="0"/>
      <w:marBottom w:val="0"/>
      <w:divBdr>
        <w:top w:val="none" w:sz="0" w:space="0" w:color="auto"/>
        <w:left w:val="none" w:sz="0" w:space="0" w:color="auto"/>
        <w:bottom w:val="none" w:sz="0" w:space="0" w:color="auto"/>
        <w:right w:val="none" w:sz="0" w:space="0" w:color="auto"/>
      </w:divBdr>
    </w:div>
    <w:div w:id="387071834">
      <w:bodyDiv w:val="1"/>
      <w:marLeft w:val="0"/>
      <w:marRight w:val="0"/>
      <w:marTop w:val="0"/>
      <w:marBottom w:val="0"/>
      <w:divBdr>
        <w:top w:val="none" w:sz="0" w:space="0" w:color="auto"/>
        <w:left w:val="none" w:sz="0" w:space="0" w:color="auto"/>
        <w:bottom w:val="none" w:sz="0" w:space="0" w:color="auto"/>
        <w:right w:val="none" w:sz="0" w:space="0" w:color="auto"/>
      </w:divBdr>
    </w:div>
    <w:div w:id="394399404">
      <w:bodyDiv w:val="1"/>
      <w:marLeft w:val="0"/>
      <w:marRight w:val="0"/>
      <w:marTop w:val="0"/>
      <w:marBottom w:val="0"/>
      <w:divBdr>
        <w:top w:val="none" w:sz="0" w:space="0" w:color="auto"/>
        <w:left w:val="none" w:sz="0" w:space="0" w:color="auto"/>
        <w:bottom w:val="none" w:sz="0" w:space="0" w:color="auto"/>
        <w:right w:val="none" w:sz="0" w:space="0" w:color="auto"/>
      </w:divBdr>
    </w:div>
    <w:div w:id="558369663">
      <w:bodyDiv w:val="1"/>
      <w:marLeft w:val="0"/>
      <w:marRight w:val="0"/>
      <w:marTop w:val="0"/>
      <w:marBottom w:val="0"/>
      <w:divBdr>
        <w:top w:val="none" w:sz="0" w:space="0" w:color="auto"/>
        <w:left w:val="none" w:sz="0" w:space="0" w:color="auto"/>
        <w:bottom w:val="none" w:sz="0" w:space="0" w:color="auto"/>
        <w:right w:val="none" w:sz="0" w:space="0" w:color="auto"/>
      </w:divBdr>
    </w:div>
    <w:div w:id="560023432">
      <w:bodyDiv w:val="1"/>
      <w:marLeft w:val="0"/>
      <w:marRight w:val="0"/>
      <w:marTop w:val="0"/>
      <w:marBottom w:val="0"/>
      <w:divBdr>
        <w:top w:val="none" w:sz="0" w:space="0" w:color="auto"/>
        <w:left w:val="none" w:sz="0" w:space="0" w:color="auto"/>
        <w:bottom w:val="none" w:sz="0" w:space="0" w:color="auto"/>
        <w:right w:val="none" w:sz="0" w:space="0" w:color="auto"/>
      </w:divBdr>
    </w:div>
    <w:div w:id="664473018">
      <w:bodyDiv w:val="1"/>
      <w:marLeft w:val="0"/>
      <w:marRight w:val="0"/>
      <w:marTop w:val="0"/>
      <w:marBottom w:val="0"/>
      <w:divBdr>
        <w:top w:val="none" w:sz="0" w:space="0" w:color="auto"/>
        <w:left w:val="none" w:sz="0" w:space="0" w:color="auto"/>
        <w:bottom w:val="none" w:sz="0" w:space="0" w:color="auto"/>
        <w:right w:val="none" w:sz="0" w:space="0" w:color="auto"/>
      </w:divBdr>
    </w:div>
    <w:div w:id="669068517">
      <w:bodyDiv w:val="1"/>
      <w:marLeft w:val="0"/>
      <w:marRight w:val="0"/>
      <w:marTop w:val="0"/>
      <w:marBottom w:val="0"/>
      <w:divBdr>
        <w:top w:val="none" w:sz="0" w:space="0" w:color="auto"/>
        <w:left w:val="none" w:sz="0" w:space="0" w:color="auto"/>
        <w:bottom w:val="none" w:sz="0" w:space="0" w:color="auto"/>
        <w:right w:val="none" w:sz="0" w:space="0" w:color="auto"/>
      </w:divBdr>
    </w:div>
    <w:div w:id="693309379">
      <w:bodyDiv w:val="1"/>
      <w:marLeft w:val="0"/>
      <w:marRight w:val="0"/>
      <w:marTop w:val="0"/>
      <w:marBottom w:val="0"/>
      <w:divBdr>
        <w:top w:val="none" w:sz="0" w:space="0" w:color="auto"/>
        <w:left w:val="none" w:sz="0" w:space="0" w:color="auto"/>
        <w:bottom w:val="none" w:sz="0" w:space="0" w:color="auto"/>
        <w:right w:val="none" w:sz="0" w:space="0" w:color="auto"/>
      </w:divBdr>
    </w:div>
    <w:div w:id="736512039">
      <w:bodyDiv w:val="1"/>
      <w:marLeft w:val="0"/>
      <w:marRight w:val="0"/>
      <w:marTop w:val="0"/>
      <w:marBottom w:val="0"/>
      <w:divBdr>
        <w:top w:val="none" w:sz="0" w:space="0" w:color="auto"/>
        <w:left w:val="none" w:sz="0" w:space="0" w:color="auto"/>
        <w:bottom w:val="none" w:sz="0" w:space="0" w:color="auto"/>
        <w:right w:val="none" w:sz="0" w:space="0" w:color="auto"/>
      </w:divBdr>
    </w:div>
    <w:div w:id="819537438">
      <w:bodyDiv w:val="1"/>
      <w:marLeft w:val="0"/>
      <w:marRight w:val="0"/>
      <w:marTop w:val="0"/>
      <w:marBottom w:val="0"/>
      <w:divBdr>
        <w:top w:val="none" w:sz="0" w:space="0" w:color="auto"/>
        <w:left w:val="none" w:sz="0" w:space="0" w:color="auto"/>
        <w:bottom w:val="none" w:sz="0" w:space="0" w:color="auto"/>
        <w:right w:val="none" w:sz="0" w:space="0" w:color="auto"/>
      </w:divBdr>
    </w:div>
    <w:div w:id="819616811">
      <w:bodyDiv w:val="1"/>
      <w:marLeft w:val="0"/>
      <w:marRight w:val="0"/>
      <w:marTop w:val="0"/>
      <w:marBottom w:val="0"/>
      <w:divBdr>
        <w:top w:val="none" w:sz="0" w:space="0" w:color="auto"/>
        <w:left w:val="none" w:sz="0" w:space="0" w:color="auto"/>
        <w:bottom w:val="none" w:sz="0" w:space="0" w:color="auto"/>
        <w:right w:val="none" w:sz="0" w:space="0" w:color="auto"/>
      </w:divBdr>
    </w:div>
    <w:div w:id="824705432">
      <w:bodyDiv w:val="1"/>
      <w:marLeft w:val="0"/>
      <w:marRight w:val="0"/>
      <w:marTop w:val="0"/>
      <w:marBottom w:val="0"/>
      <w:divBdr>
        <w:top w:val="none" w:sz="0" w:space="0" w:color="auto"/>
        <w:left w:val="none" w:sz="0" w:space="0" w:color="auto"/>
        <w:bottom w:val="none" w:sz="0" w:space="0" w:color="auto"/>
        <w:right w:val="none" w:sz="0" w:space="0" w:color="auto"/>
      </w:divBdr>
    </w:div>
    <w:div w:id="827669040">
      <w:bodyDiv w:val="1"/>
      <w:marLeft w:val="0"/>
      <w:marRight w:val="0"/>
      <w:marTop w:val="0"/>
      <w:marBottom w:val="0"/>
      <w:divBdr>
        <w:top w:val="none" w:sz="0" w:space="0" w:color="auto"/>
        <w:left w:val="none" w:sz="0" w:space="0" w:color="auto"/>
        <w:bottom w:val="none" w:sz="0" w:space="0" w:color="auto"/>
        <w:right w:val="none" w:sz="0" w:space="0" w:color="auto"/>
      </w:divBdr>
    </w:div>
    <w:div w:id="955137859">
      <w:bodyDiv w:val="1"/>
      <w:marLeft w:val="0"/>
      <w:marRight w:val="0"/>
      <w:marTop w:val="0"/>
      <w:marBottom w:val="0"/>
      <w:divBdr>
        <w:top w:val="none" w:sz="0" w:space="0" w:color="auto"/>
        <w:left w:val="none" w:sz="0" w:space="0" w:color="auto"/>
        <w:bottom w:val="none" w:sz="0" w:space="0" w:color="auto"/>
        <w:right w:val="none" w:sz="0" w:space="0" w:color="auto"/>
      </w:divBdr>
    </w:div>
    <w:div w:id="1006514425">
      <w:bodyDiv w:val="1"/>
      <w:marLeft w:val="0"/>
      <w:marRight w:val="0"/>
      <w:marTop w:val="0"/>
      <w:marBottom w:val="0"/>
      <w:divBdr>
        <w:top w:val="none" w:sz="0" w:space="0" w:color="auto"/>
        <w:left w:val="none" w:sz="0" w:space="0" w:color="auto"/>
        <w:bottom w:val="none" w:sz="0" w:space="0" w:color="auto"/>
        <w:right w:val="none" w:sz="0" w:space="0" w:color="auto"/>
      </w:divBdr>
    </w:div>
    <w:div w:id="1006591682">
      <w:bodyDiv w:val="1"/>
      <w:marLeft w:val="0"/>
      <w:marRight w:val="0"/>
      <w:marTop w:val="0"/>
      <w:marBottom w:val="0"/>
      <w:divBdr>
        <w:top w:val="none" w:sz="0" w:space="0" w:color="auto"/>
        <w:left w:val="none" w:sz="0" w:space="0" w:color="auto"/>
        <w:bottom w:val="none" w:sz="0" w:space="0" w:color="auto"/>
        <w:right w:val="none" w:sz="0" w:space="0" w:color="auto"/>
      </w:divBdr>
    </w:div>
    <w:div w:id="1032149229">
      <w:bodyDiv w:val="1"/>
      <w:marLeft w:val="0"/>
      <w:marRight w:val="0"/>
      <w:marTop w:val="0"/>
      <w:marBottom w:val="0"/>
      <w:divBdr>
        <w:top w:val="none" w:sz="0" w:space="0" w:color="auto"/>
        <w:left w:val="none" w:sz="0" w:space="0" w:color="auto"/>
        <w:bottom w:val="none" w:sz="0" w:space="0" w:color="auto"/>
        <w:right w:val="none" w:sz="0" w:space="0" w:color="auto"/>
      </w:divBdr>
    </w:div>
    <w:div w:id="1133908819">
      <w:bodyDiv w:val="1"/>
      <w:marLeft w:val="0"/>
      <w:marRight w:val="0"/>
      <w:marTop w:val="0"/>
      <w:marBottom w:val="0"/>
      <w:divBdr>
        <w:top w:val="none" w:sz="0" w:space="0" w:color="auto"/>
        <w:left w:val="none" w:sz="0" w:space="0" w:color="auto"/>
        <w:bottom w:val="none" w:sz="0" w:space="0" w:color="auto"/>
        <w:right w:val="none" w:sz="0" w:space="0" w:color="auto"/>
      </w:divBdr>
    </w:div>
    <w:div w:id="1155023481">
      <w:bodyDiv w:val="1"/>
      <w:marLeft w:val="0"/>
      <w:marRight w:val="0"/>
      <w:marTop w:val="0"/>
      <w:marBottom w:val="0"/>
      <w:divBdr>
        <w:top w:val="none" w:sz="0" w:space="0" w:color="auto"/>
        <w:left w:val="none" w:sz="0" w:space="0" w:color="auto"/>
        <w:bottom w:val="none" w:sz="0" w:space="0" w:color="auto"/>
        <w:right w:val="none" w:sz="0" w:space="0" w:color="auto"/>
      </w:divBdr>
    </w:div>
    <w:div w:id="1263950531">
      <w:bodyDiv w:val="1"/>
      <w:marLeft w:val="0"/>
      <w:marRight w:val="0"/>
      <w:marTop w:val="0"/>
      <w:marBottom w:val="0"/>
      <w:divBdr>
        <w:top w:val="none" w:sz="0" w:space="0" w:color="auto"/>
        <w:left w:val="none" w:sz="0" w:space="0" w:color="auto"/>
        <w:bottom w:val="none" w:sz="0" w:space="0" w:color="auto"/>
        <w:right w:val="none" w:sz="0" w:space="0" w:color="auto"/>
      </w:divBdr>
    </w:div>
    <w:div w:id="1330713064">
      <w:bodyDiv w:val="1"/>
      <w:marLeft w:val="0"/>
      <w:marRight w:val="0"/>
      <w:marTop w:val="0"/>
      <w:marBottom w:val="0"/>
      <w:divBdr>
        <w:top w:val="none" w:sz="0" w:space="0" w:color="auto"/>
        <w:left w:val="none" w:sz="0" w:space="0" w:color="auto"/>
        <w:bottom w:val="none" w:sz="0" w:space="0" w:color="auto"/>
        <w:right w:val="none" w:sz="0" w:space="0" w:color="auto"/>
      </w:divBdr>
    </w:div>
    <w:div w:id="1361709802">
      <w:bodyDiv w:val="1"/>
      <w:marLeft w:val="0"/>
      <w:marRight w:val="0"/>
      <w:marTop w:val="0"/>
      <w:marBottom w:val="0"/>
      <w:divBdr>
        <w:top w:val="none" w:sz="0" w:space="0" w:color="auto"/>
        <w:left w:val="none" w:sz="0" w:space="0" w:color="auto"/>
        <w:bottom w:val="none" w:sz="0" w:space="0" w:color="auto"/>
        <w:right w:val="none" w:sz="0" w:space="0" w:color="auto"/>
      </w:divBdr>
    </w:div>
    <w:div w:id="1380856933">
      <w:bodyDiv w:val="1"/>
      <w:marLeft w:val="0"/>
      <w:marRight w:val="0"/>
      <w:marTop w:val="0"/>
      <w:marBottom w:val="0"/>
      <w:divBdr>
        <w:top w:val="none" w:sz="0" w:space="0" w:color="auto"/>
        <w:left w:val="none" w:sz="0" w:space="0" w:color="auto"/>
        <w:bottom w:val="none" w:sz="0" w:space="0" w:color="auto"/>
        <w:right w:val="none" w:sz="0" w:space="0" w:color="auto"/>
      </w:divBdr>
    </w:div>
    <w:div w:id="1413969566">
      <w:bodyDiv w:val="1"/>
      <w:marLeft w:val="0"/>
      <w:marRight w:val="0"/>
      <w:marTop w:val="0"/>
      <w:marBottom w:val="0"/>
      <w:divBdr>
        <w:top w:val="none" w:sz="0" w:space="0" w:color="auto"/>
        <w:left w:val="none" w:sz="0" w:space="0" w:color="auto"/>
        <w:bottom w:val="none" w:sz="0" w:space="0" w:color="auto"/>
        <w:right w:val="none" w:sz="0" w:space="0" w:color="auto"/>
      </w:divBdr>
    </w:div>
    <w:div w:id="1443106279">
      <w:bodyDiv w:val="1"/>
      <w:marLeft w:val="0"/>
      <w:marRight w:val="0"/>
      <w:marTop w:val="0"/>
      <w:marBottom w:val="0"/>
      <w:divBdr>
        <w:top w:val="none" w:sz="0" w:space="0" w:color="auto"/>
        <w:left w:val="none" w:sz="0" w:space="0" w:color="auto"/>
        <w:bottom w:val="none" w:sz="0" w:space="0" w:color="auto"/>
        <w:right w:val="none" w:sz="0" w:space="0" w:color="auto"/>
      </w:divBdr>
    </w:div>
    <w:div w:id="1464154693">
      <w:bodyDiv w:val="1"/>
      <w:marLeft w:val="0"/>
      <w:marRight w:val="0"/>
      <w:marTop w:val="0"/>
      <w:marBottom w:val="0"/>
      <w:divBdr>
        <w:top w:val="none" w:sz="0" w:space="0" w:color="auto"/>
        <w:left w:val="none" w:sz="0" w:space="0" w:color="auto"/>
        <w:bottom w:val="none" w:sz="0" w:space="0" w:color="auto"/>
        <w:right w:val="none" w:sz="0" w:space="0" w:color="auto"/>
      </w:divBdr>
    </w:div>
    <w:div w:id="1477069328">
      <w:bodyDiv w:val="1"/>
      <w:marLeft w:val="0"/>
      <w:marRight w:val="0"/>
      <w:marTop w:val="0"/>
      <w:marBottom w:val="0"/>
      <w:divBdr>
        <w:top w:val="none" w:sz="0" w:space="0" w:color="auto"/>
        <w:left w:val="none" w:sz="0" w:space="0" w:color="auto"/>
        <w:bottom w:val="none" w:sz="0" w:space="0" w:color="auto"/>
        <w:right w:val="none" w:sz="0" w:space="0" w:color="auto"/>
      </w:divBdr>
    </w:div>
    <w:div w:id="1539514261">
      <w:bodyDiv w:val="1"/>
      <w:marLeft w:val="0"/>
      <w:marRight w:val="0"/>
      <w:marTop w:val="0"/>
      <w:marBottom w:val="0"/>
      <w:divBdr>
        <w:top w:val="none" w:sz="0" w:space="0" w:color="auto"/>
        <w:left w:val="none" w:sz="0" w:space="0" w:color="auto"/>
        <w:bottom w:val="none" w:sz="0" w:space="0" w:color="auto"/>
        <w:right w:val="none" w:sz="0" w:space="0" w:color="auto"/>
      </w:divBdr>
    </w:div>
    <w:div w:id="1673873381">
      <w:bodyDiv w:val="1"/>
      <w:marLeft w:val="0"/>
      <w:marRight w:val="0"/>
      <w:marTop w:val="0"/>
      <w:marBottom w:val="0"/>
      <w:divBdr>
        <w:top w:val="none" w:sz="0" w:space="0" w:color="auto"/>
        <w:left w:val="none" w:sz="0" w:space="0" w:color="auto"/>
        <w:bottom w:val="none" w:sz="0" w:space="0" w:color="auto"/>
        <w:right w:val="none" w:sz="0" w:space="0" w:color="auto"/>
      </w:divBdr>
      <w:divsChild>
        <w:div w:id="1702197289">
          <w:marLeft w:val="0"/>
          <w:marRight w:val="0"/>
          <w:marTop w:val="0"/>
          <w:marBottom w:val="0"/>
          <w:divBdr>
            <w:top w:val="none" w:sz="0" w:space="0" w:color="auto"/>
            <w:left w:val="none" w:sz="0" w:space="0" w:color="auto"/>
            <w:bottom w:val="none" w:sz="0" w:space="0" w:color="auto"/>
            <w:right w:val="none" w:sz="0" w:space="0" w:color="auto"/>
          </w:divBdr>
        </w:div>
      </w:divsChild>
    </w:div>
    <w:div w:id="1712681015">
      <w:bodyDiv w:val="1"/>
      <w:marLeft w:val="0"/>
      <w:marRight w:val="0"/>
      <w:marTop w:val="0"/>
      <w:marBottom w:val="0"/>
      <w:divBdr>
        <w:top w:val="none" w:sz="0" w:space="0" w:color="auto"/>
        <w:left w:val="none" w:sz="0" w:space="0" w:color="auto"/>
        <w:bottom w:val="none" w:sz="0" w:space="0" w:color="auto"/>
        <w:right w:val="none" w:sz="0" w:space="0" w:color="auto"/>
      </w:divBdr>
    </w:div>
    <w:div w:id="1786346340">
      <w:bodyDiv w:val="1"/>
      <w:marLeft w:val="0"/>
      <w:marRight w:val="0"/>
      <w:marTop w:val="0"/>
      <w:marBottom w:val="0"/>
      <w:divBdr>
        <w:top w:val="none" w:sz="0" w:space="0" w:color="auto"/>
        <w:left w:val="none" w:sz="0" w:space="0" w:color="auto"/>
        <w:bottom w:val="none" w:sz="0" w:space="0" w:color="auto"/>
        <w:right w:val="none" w:sz="0" w:space="0" w:color="auto"/>
      </w:divBdr>
    </w:div>
    <w:div w:id="1841383865">
      <w:bodyDiv w:val="1"/>
      <w:marLeft w:val="0"/>
      <w:marRight w:val="0"/>
      <w:marTop w:val="0"/>
      <w:marBottom w:val="0"/>
      <w:divBdr>
        <w:top w:val="none" w:sz="0" w:space="0" w:color="auto"/>
        <w:left w:val="none" w:sz="0" w:space="0" w:color="auto"/>
        <w:bottom w:val="none" w:sz="0" w:space="0" w:color="auto"/>
        <w:right w:val="none" w:sz="0" w:space="0" w:color="auto"/>
      </w:divBdr>
    </w:div>
    <w:div w:id="1870024348">
      <w:bodyDiv w:val="1"/>
      <w:marLeft w:val="0"/>
      <w:marRight w:val="0"/>
      <w:marTop w:val="0"/>
      <w:marBottom w:val="0"/>
      <w:divBdr>
        <w:top w:val="none" w:sz="0" w:space="0" w:color="auto"/>
        <w:left w:val="none" w:sz="0" w:space="0" w:color="auto"/>
        <w:bottom w:val="none" w:sz="0" w:space="0" w:color="auto"/>
        <w:right w:val="none" w:sz="0" w:space="0" w:color="auto"/>
      </w:divBdr>
    </w:div>
    <w:div w:id="1871069191">
      <w:bodyDiv w:val="1"/>
      <w:marLeft w:val="0"/>
      <w:marRight w:val="0"/>
      <w:marTop w:val="0"/>
      <w:marBottom w:val="0"/>
      <w:divBdr>
        <w:top w:val="none" w:sz="0" w:space="0" w:color="auto"/>
        <w:left w:val="none" w:sz="0" w:space="0" w:color="auto"/>
        <w:bottom w:val="none" w:sz="0" w:space="0" w:color="auto"/>
        <w:right w:val="none" w:sz="0" w:space="0" w:color="auto"/>
      </w:divBdr>
    </w:div>
    <w:div w:id="1955863581">
      <w:bodyDiv w:val="1"/>
      <w:marLeft w:val="0"/>
      <w:marRight w:val="0"/>
      <w:marTop w:val="0"/>
      <w:marBottom w:val="0"/>
      <w:divBdr>
        <w:top w:val="none" w:sz="0" w:space="0" w:color="auto"/>
        <w:left w:val="none" w:sz="0" w:space="0" w:color="auto"/>
        <w:bottom w:val="none" w:sz="0" w:space="0" w:color="auto"/>
        <w:right w:val="none" w:sz="0" w:space="0" w:color="auto"/>
      </w:divBdr>
    </w:div>
    <w:div w:id="1978729247">
      <w:bodyDiv w:val="1"/>
      <w:marLeft w:val="0"/>
      <w:marRight w:val="0"/>
      <w:marTop w:val="0"/>
      <w:marBottom w:val="0"/>
      <w:divBdr>
        <w:top w:val="none" w:sz="0" w:space="0" w:color="auto"/>
        <w:left w:val="none" w:sz="0" w:space="0" w:color="auto"/>
        <w:bottom w:val="none" w:sz="0" w:space="0" w:color="auto"/>
        <w:right w:val="none" w:sz="0" w:space="0" w:color="auto"/>
      </w:divBdr>
    </w:div>
    <w:div w:id="2000620657">
      <w:bodyDiv w:val="1"/>
      <w:marLeft w:val="0"/>
      <w:marRight w:val="0"/>
      <w:marTop w:val="0"/>
      <w:marBottom w:val="0"/>
      <w:divBdr>
        <w:top w:val="none" w:sz="0" w:space="0" w:color="auto"/>
        <w:left w:val="none" w:sz="0" w:space="0" w:color="auto"/>
        <w:bottom w:val="none" w:sz="0" w:space="0" w:color="auto"/>
        <w:right w:val="none" w:sz="0" w:space="0" w:color="auto"/>
      </w:divBdr>
    </w:div>
    <w:div w:id="2019310150">
      <w:bodyDiv w:val="1"/>
      <w:marLeft w:val="0"/>
      <w:marRight w:val="0"/>
      <w:marTop w:val="0"/>
      <w:marBottom w:val="0"/>
      <w:divBdr>
        <w:top w:val="none" w:sz="0" w:space="0" w:color="auto"/>
        <w:left w:val="none" w:sz="0" w:space="0" w:color="auto"/>
        <w:bottom w:val="none" w:sz="0" w:space="0" w:color="auto"/>
        <w:right w:val="none" w:sz="0" w:space="0" w:color="auto"/>
      </w:divBdr>
    </w:div>
    <w:div w:id="21153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SDE35">
      <a:dk1>
        <a:sysClr val="windowText" lastClr="000000"/>
      </a:dk1>
      <a:lt1>
        <a:sysClr val="window" lastClr="FFFFFF"/>
      </a:lt1>
      <a:dk2>
        <a:srgbClr val="8A8B8D"/>
      </a:dk2>
      <a:lt2>
        <a:srgbClr val="EEECE1"/>
      </a:lt2>
      <a:accent1>
        <a:srgbClr val="DF551A"/>
      </a:accent1>
      <a:accent2>
        <a:srgbClr val="70C3C6"/>
      </a:accent2>
      <a:accent3>
        <a:srgbClr val="C2D026"/>
      </a:accent3>
      <a:accent4>
        <a:srgbClr val="8064A2"/>
      </a:accent4>
      <a:accent5>
        <a:srgbClr val="F79646"/>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53DD2-0B0E-4F81-AAA0-7A44EB510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7016</Words>
  <Characters>38593</Characters>
  <Application>Microsoft Office Word</Application>
  <DocSecurity>0</DocSecurity>
  <Lines>321</Lines>
  <Paragraphs>91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Luc  Tostivint</dc:creator>
  <cp:lastModifiedBy>Jean Luc  Tostivint</cp:lastModifiedBy>
  <cp:revision>9</cp:revision>
  <cp:lastPrinted>2018-05-02T14:01:00Z</cp:lastPrinted>
  <dcterms:created xsi:type="dcterms:W3CDTF">2018-04-19T06:46:00Z</dcterms:created>
  <dcterms:modified xsi:type="dcterms:W3CDTF">2018-07-04T10:45:00Z</dcterms:modified>
</cp:coreProperties>
</file>